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6C720A">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0DAB3DDA"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C24AF1">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6C720A">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6C720A">
        <w:trPr>
          <w:trHeight w:val="68"/>
          <w:jc w:val="center"/>
        </w:trPr>
        <w:tc>
          <w:tcPr>
            <w:tcW w:w="8782" w:type="dxa"/>
            <w:gridSpan w:val="2"/>
          </w:tcPr>
          <w:p w14:paraId="1D8DD3C9" w14:textId="62C05688" w:rsidR="00AA7D26" w:rsidRPr="00A0035F" w:rsidRDefault="00AA7D26" w:rsidP="00AA7D26">
            <w:pPr>
              <w:ind w:left="-107"/>
              <w:outlineLvl w:val="2"/>
              <w:rPr>
                <w:rFonts w:ascii="Tahoma" w:hAnsi="Tahoma" w:cs="Tahoma"/>
                <w:bCs/>
                <w:color w:val="000000"/>
                <w:sz w:val="14"/>
                <w:szCs w:val="14"/>
                <w:lang w:val="it-IT" w:eastAsia="it-IT"/>
              </w:rPr>
            </w:pPr>
            <w:r w:rsidRPr="00A0035F">
              <w:rPr>
                <w:rFonts w:ascii="Tahoma" w:hAnsi="Tahoma" w:cs="Tahoma"/>
                <w:iCs/>
                <w:color w:val="333333"/>
                <w:sz w:val="14"/>
                <w:szCs w:val="14"/>
                <w:lang w:val="it-IT" w:eastAsia="it-IT"/>
              </w:rPr>
              <w:t>Guest Editors:</w:t>
            </w:r>
            <w:r w:rsidRPr="00A0035F">
              <w:rPr>
                <w:rFonts w:ascii="Tahoma" w:hAnsi="Tahoma" w:cs="Tahoma"/>
                <w:color w:val="000000"/>
                <w:sz w:val="14"/>
                <w:szCs w:val="14"/>
                <w:shd w:val="clear" w:color="auto" w:fill="FFFFFF"/>
                <w:lang w:val="it-IT"/>
              </w:rPr>
              <w:t xml:space="preserve"> </w:t>
            </w:r>
            <w:r w:rsidR="00A0035F" w:rsidRPr="005E72C6">
              <w:rPr>
                <w:rFonts w:ascii="Tahoma" w:hAnsi="Tahoma" w:cs="Tahoma"/>
                <w:color w:val="000000"/>
                <w:sz w:val="14"/>
                <w:szCs w:val="14"/>
                <w:shd w:val="clear" w:color="auto" w:fill="FFFFFF"/>
                <w:lang w:val="it-IT"/>
              </w:rPr>
              <w:t xml:space="preserve">Laura Piazza, Francesco </w:t>
            </w:r>
            <w:proofErr w:type="spellStart"/>
            <w:r w:rsidR="00A0035F" w:rsidRPr="005E72C6">
              <w:rPr>
                <w:rFonts w:ascii="Tahoma" w:hAnsi="Tahoma" w:cs="Tahoma"/>
                <w:color w:val="000000"/>
                <w:sz w:val="14"/>
                <w:szCs w:val="14"/>
                <w:shd w:val="clear" w:color="auto" w:fill="FFFFFF"/>
                <w:lang w:val="it-IT"/>
              </w:rPr>
              <w:t>Donsì</w:t>
            </w:r>
            <w:proofErr w:type="spellEnd"/>
            <w:r w:rsidR="005E72C6" w:rsidRPr="005E72C6">
              <w:rPr>
                <w:rFonts w:ascii="Tahoma" w:hAnsi="Tahoma" w:cs="Tahoma"/>
                <w:color w:val="000000"/>
                <w:sz w:val="14"/>
                <w:szCs w:val="14"/>
                <w:shd w:val="clear" w:color="auto" w:fill="FFFFFF"/>
                <w:lang w:val="it-IT"/>
              </w:rPr>
              <w:t>,</w:t>
            </w:r>
            <w:r w:rsidR="00A0035F" w:rsidRPr="005E72C6">
              <w:rPr>
                <w:rFonts w:ascii="Tahoma" w:hAnsi="Tahoma" w:cs="Tahoma"/>
                <w:color w:val="000000"/>
                <w:sz w:val="14"/>
                <w:szCs w:val="14"/>
                <w:shd w:val="clear" w:color="auto" w:fill="FFFFFF"/>
                <w:lang w:val="it-IT"/>
              </w:rPr>
              <w:t xml:space="preserve"> Giorgia Spigno</w:t>
            </w:r>
          </w:p>
          <w:p w14:paraId="1B0F1814" w14:textId="7ED5C28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C24AF1">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3312AE">
              <w:rPr>
                <w:rFonts w:ascii="Tahoma" w:hAnsi="Tahoma" w:cs="Tahoma"/>
                <w:sz w:val="14"/>
                <w:szCs w:val="14"/>
              </w:rPr>
              <w:t>19</w:t>
            </w:r>
            <w:r w:rsidR="00D2582C">
              <w:rPr>
                <w:rFonts w:ascii="Tahoma" w:hAnsi="Tahoma" w:cs="Tahoma"/>
                <w:sz w:val="14"/>
                <w:szCs w:val="14"/>
              </w:rPr>
              <w:t>-</w:t>
            </w:r>
            <w:r w:rsidR="003312AE">
              <w:rPr>
                <w:rFonts w:ascii="Tahoma" w:hAnsi="Tahoma" w:cs="Tahoma"/>
                <w:sz w:val="14"/>
                <w:szCs w:val="14"/>
              </w:rPr>
              <w:t>9</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8563AB9" w14:textId="77777777" w:rsidR="00F3046C" w:rsidRDefault="00F3046C" w:rsidP="006C720A">
      <w:pPr>
        <w:spacing w:before="240" w:line="360" w:lineRule="auto"/>
        <w:jc w:val="center"/>
        <w:rPr>
          <w:sz w:val="32"/>
        </w:rPr>
      </w:pPr>
      <w:r w:rsidRPr="00F3046C">
        <w:rPr>
          <w:sz w:val="32"/>
        </w:rPr>
        <w:t xml:space="preserve">Numerical </w:t>
      </w:r>
      <w:proofErr w:type="spellStart"/>
      <w:r w:rsidRPr="00F3046C">
        <w:rPr>
          <w:sz w:val="32"/>
        </w:rPr>
        <w:t>modeling</w:t>
      </w:r>
      <w:proofErr w:type="spellEnd"/>
      <w:r w:rsidRPr="00F3046C">
        <w:rPr>
          <w:sz w:val="32"/>
        </w:rPr>
        <w:t xml:space="preserve"> of Ohmic heating of heterogeneous food</w:t>
      </w:r>
    </w:p>
    <w:p w14:paraId="222AEB07" w14:textId="31FB4C4E" w:rsidR="00F3046C" w:rsidRPr="00F3046C" w:rsidRDefault="00F3046C" w:rsidP="006C720A">
      <w:pPr>
        <w:pStyle w:val="CETAddress"/>
        <w:rPr>
          <w:sz w:val="24"/>
          <w:lang w:val="it-IT"/>
        </w:rPr>
      </w:pPr>
      <w:r w:rsidRPr="004446F2">
        <w:rPr>
          <w:sz w:val="24"/>
          <w:lang w:val="en-US"/>
        </w:rPr>
        <w:t xml:space="preserve"> </w:t>
      </w:r>
      <w:r w:rsidRPr="00F3046C">
        <w:rPr>
          <w:sz w:val="24"/>
          <w:lang w:val="it-IT"/>
        </w:rPr>
        <w:t>Angela De Vivo</w:t>
      </w:r>
      <w:r w:rsidRPr="00F3046C">
        <w:rPr>
          <w:sz w:val="24"/>
          <w:vertAlign w:val="superscript"/>
          <w:lang w:val="it-IT"/>
        </w:rPr>
        <w:t>a</w:t>
      </w:r>
      <w:r>
        <w:rPr>
          <w:sz w:val="24"/>
          <w:lang w:val="it-IT"/>
        </w:rPr>
        <w:t xml:space="preserve"> </w:t>
      </w:r>
      <w:r w:rsidRPr="00F3046C">
        <w:rPr>
          <w:sz w:val="24"/>
          <w:lang w:val="it-IT"/>
        </w:rPr>
        <w:t>, Ferruh Erdogdu</w:t>
      </w:r>
      <w:r w:rsidRPr="00F3046C">
        <w:rPr>
          <w:sz w:val="24"/>
          <w:vertAlign w:val="superscript"/>
          <w:lang w:val="it-IT"/>
        </w:rPr>
        <w:t>b</w:t>
      </w:r>
      <w:r w:rsidRPr="00F3046C">
        <w:rPr>
          <w:sz w:val="24"/>
          <w:lang w:val="it-IT"/>
        </w:rPr>
        <w:t>,  Fabrizio Sarghini</w:t>
      </w:r>
      <w:r w:rsidRPr="00F3046C">
        <w:rPr>
          <w:sz w:val="24"/>
          <w:vertAlign w:val="superscript"/>
          <w:lang w:val="it-IT"/>
        </w:rPr>
        <w:t>a</w:t>
      </w:r>
      <w:r w:rsidRPr="00F3046C">
        <w:rPr>
          <w:sz w:val="24"/>
          <w:lang w:val="it-IT"/>
        </w:rPr>
        <w:t>*</w:t>
      </w:r>
    </w:p>
    <w:p w14:paraId="549513C5" w14:textId="77777777" w:rsidR="00F3046C" w:rsidRDefault="00F3046C" w:rsidP="006C720A">
      <w:pPr>
        <w:pStyle w:val="CETAddress"/>
        <w:rPr>
          <w:sz w:val="24"/>
          <w:lang w:val="it-IT"/>
        </w:rPr>
      </w:pPr>
    </w:p>
    <w:p w14:paraId="23651167" w14:textId="56E94E3D" w:rsidR="00F3046C" w:rsidRPr="00F3046C" w:rsidRDefault="00F3046C" w:rsidP="00F3046C">
      <w:pPr>
        <w:ind w:right="-2"/>
        <w:rPr>
          <w:sz w:val="16"/>
          <w:szCs w:val="16"/>
          <w:lang w:val="it-IT"/>
        </w:rPr>
      </w:pPr>
      <w:proofErr w:type="spellStart"/>
      <w:r>
        <w:rPr>
          <w:sz w:val="16"/>
          <w:szCs w:val="16"/>
          <w:vertAlign w:val="superscript"/>
          <w:lang w:val="it-IT"/>
        </w:rPr>
        <w:t>a</w:t>
      </w:r>
      <w:r w:rsidRPr="00F3046C">
        <w:rPr>
          <w:sz w:val="16"/>
          <w:szCs w:val="16"/>
          <w:lang w:val="it-IT"/>
        </w:rPr>
        <w:t>Università</w:t>
      </w:r>
      <w:proofErr w:type="spellEnd"/>
      <w:r w:rsidRPr="00F3046C">
        <w:rPr>
          <w:sz w:val="16"/>
          <w:szCs w:val="16"/>
          <w:lang w:val="it-IT"/>
        </w:rPr>
        <w:t xml:space="preserve"> degli Studi di Napoli Federico II Dipartimento di Agraria, via Università 100 – 80055 Portici (NA) – Italia</w:t>
      </w:r>
    </w:p>
    <w:p w14:paraId="775961CC" w14:textId="72D98F7F" w:rsidR="00F3046C" w:rsidRPr="00F3046C" w:rsidRDefault="00F3046C" w:rsidP="00F3046C">
      <w:pPr>
        <w:ind w:right="-2"/>
        <w:rPr>
          <w:sz w:val="16"/>
          <w:szCs w:val="16"/>
          <w:lang w:val="en-US"/>
        </w:rPr>
      </w:pPr>
      <w:proofErr w:type="spellStart"/>
      <w:r>
        <w:rPr>
          <w:sz w:val="16"/>
          <w:szCs w:val="16"/>
          <w:vertAlign w:val="superscript"/>
          <w:lang w:val="en-US"/>
        </w:rPr>
        <w:t>b</w:t>
      </w:r>
      <w:r w:rsidRPr="00F3046C">
        <w:rPr>
          <w:sz w:val="16"/>
          <w:szCs w:val="16"/>
          <w:lang w:val="en-US"/>
        </w:rPr>
        <w:t>Ankara</w:t>
      </w:r>
      <w:proofErr w:type="spellEnd"/>
      <w:r w:rsidRPr="00F3046C">
        <w:rPr>
          <w:sz w:val="16"/>
          <w:szCs w:val="16"/>
          <w:lang w:val="en-US"/>
        </w:rPr>
        <w:t xml:space="preserve"> University</w:t>
      </w:r>
      <w:r>
        <w:rPr>
          <w:sz w:val="16"/>
          <w:szCs w:val="16"/>
          <w:lang w:val="en-US"/>
        </w:rPr>
        <w:t>,</w:t>
      </w:r>
      <w:r w:rsidRPr="00F3046C">
        <w:rPr>
          <w:sz w:val="16"/>
          <w:szCs w:val="16"/>
          <w:lang w:val="en-US"/>
        </w:rPr>
        <w:t xml:space="preserve"> Dept. </w:t>
      </w:r>
      <w:r>
        <w:rPr>
          <w:sz w:val="16"/>
          <w:szCs w:val="16"/>
          <w:lang w:val="en-US"/>
        </w:rPr>
        <w:t>F</w:t>
      </w:r>
      <w:r w:rsidRPr="00F3046C">
        <w:rPr>
          <w:sz w:val="16"/>
          <w:szCs w:val="16"/>
          <w:lang w:val="en-US"/>
        </w:rPr>
        <w:t xml:space="preserve">ood </w:t>
      </w:r>
      <w:proofErr w:type="gramStart"/>
      <w:r w:rsidRPr="00F3046C">
        <w:rPr>
          <w:sz w:val="16"/>
          <w:szCs w:val="16"/>
          <w:lang w:val="en-US"/>
        </w:rPr>
        <w:t xml:space="preserve">Engineering </w:t>
      </w:r>
      <w:r>
        <w:rPr>
          <w:sz w:val="16"/>
          <w:szCs w:val="16"/>
          <w:lang w:val="en-US"/>
        </w:rPr>
        <w:t>,</w:t>
      </w:r>
      <w:proofErr w:type="gramEnd"/>
      <w:r w:rsidRPr="00F3046C">
        <w:rPr>
          <w:sz w:val="16"/>
          <w:szCs w:val="16"/>
          <w:lang w:val="en-US"/>
        </w:rPr>
        <w:t xml:space="preserve">  </w:t>
      </w:r>
      <w:proofErr w:type="spellStart"/>
      <w:r w:rsidRPr="00F3046C">
        <w:rPr>
          <w:sz w:val="16"/>
          <w:szCs w:val="16"/>
          <w:lang w:val="en-US"/>
        </w:rPr>
        <w:t>Golbası</w:t>
      </w:r>
      <w:proofErr w:type="spellEnd"/>
      <w:r w:rsidRPr="00F3046C">
        <w:rPr>
          <w:sz w:val="16"/>
          <w:szCs w:val="16"/>
          <w:lang w:val="en-US"/>
        </w:rPr>
        <w:t xml:space="preserve"> </w:t>
      </w:r>
      <w:proofErr w:type="spellStart"/>
      <w:r w:rsidRPr="00F3046C">
        <w:rPr>
          <w:sz w:val="16"/>
          <w:szCs w:val="16"/>
          <w:lang w:val="en-US"/>
        </w:rPr>
        <w:t>Kampusu</w:t>
      </w:r>
      <w:proofErr w:type="spellEnd"/>
      <w:r>
        <w:rPr>
          <w:sz w:val="16"/>
          <w:szCs w:val="16"/>
          <w:lang w:val="en-US"/>
        </w:rPr>
        <w:t xml:space="preserve"> </w:t>
      </w:r>
      <w:r w:rsidRPr="00F3046C">
        <w:rPr>
          <w:sz w:val="16"/>
          <w:szCs w:val="16"/>
          <w:lang w:val="en-US"/>
        </w:rPr>
        <w:t xml:space="preserve">  </w:t>
      </w:r>
      <w:proofErr w:type="spellStart"/>
      <w:r w:rsidRPr="00F3046C">
        <w:rPr>
          <w:sz w:val="16"/>
          <w:szCs w:val="16"/>
          <w:lang w:val="en-US"/>
        </w:rPr>
        <w:t>Golbası</w:t>
      </w:r>
      <w:proofErr w:type="spellEnd"/>
      <w:r w:rsidRPr="00F3046C">
        <w:rPr>
          <w:sz w:val="16"/>
          <w:szCs w:val="16"/>
          <w:lang w:val="en-US"/>
        </w:rPr>
        <w:t xml:space="preserve">-Ankara   </w:t>
      </w:r>
      <w:proofErr w:type="gramStart"/>
      <w:r w:rsidRPr="00F3046C">
        <w:rPr>
          <w:sz w:val="16"/>
          <w:szCs w:val="16"/>
          <w:lang w:val="en-US"/>
        </w:rPr>
        <w:t>-  06830</w:t>
      </w:r>
      <w:proofErr w:type="gramEnd"/>
      <w:r w:rsidRPr="00F3046C">
        <w:rPr>
          <w:sz w:val="16"/>
          <w:szCs w:val="16"/>
          <w:lang w:val="en-US"/>
        </w:rPr>
        <w:t xml:space="preserve"> Turkey</w:t>
      </w:r>
    </w:p>
    <w:p w14:paraId="47F24708" w14:textId="196DF024" w:rsidR="009B18DF" w:rsidRDefault="00F3046C" w:rsidP="00F3046C">
      <w:pPr>
        <w:pStyle w:val="CETAddress"/>
      </w:pPr>
      <w:hyperlink r:id="rId10" w:history="1">
        <w:r w:rsidRPr="002B2647">
          <w:rPr>
            <w:rStyle w:val="Hyperlink"/>
          </w:rPr>
          <w:t>*fabrizio.sarghini@unina.it</w:t>
        </w:r>
      </w:hyperlink>
    </w:p>
    <w:p w14:paraId="309DD12B" w14:textId="77777777" w:rsidR="00F3046C" w:rsidRPr="00841F9E" w:rsidRDefault="00F3046C" w:rsidP="00F3046C">
      <w:pPr>
        <w:pStyle w:val="CETAddress"/>
      </w:pPr>
    </w:p>
    <w:p w14:paraId="0BDE79CB" w14:textId="63475536" w:rsidR="00F3046C" w:rsidRPr="00F3046C" w:rsidRDefault="00F3046C" w:rsidP="00F3046C">
      <w:pPr>
        <w:pStyle w:val="CETBodytext"/>
        <w:rPr>
          <w:lang w:val="en-GB"/>
        </w:rPr>
      </w:pPr>
      <w:r w:rsidRPr="00F3046C">
        <w:rPr>
          <w:lang w:val="en-GB"/>
        </w:rPr>
        <w:t xml:space="preserve">Ohmic heating is a promising thermal processing technique in the food industry, as it offers rapid, uniform heating by passing an electrical current directly through the food product. However, food materials often exhibit heterogeneous structures—composed of regions with different conductivities, varied moisture levels, and complex geometrical features—which can result in non-uniform temperature distributions and pose challenges for process control. This study aims to develop and validate a comprehensive numerical </w:t>
      </w:r>
      <w:r w:rsidR="004446F2" w:rsidRPr="00F3046C">
        <w:rPr>
          <w:lang w:val="en-GB"/>
        </w:rPr>
        <w:t>modelling</w:t>
      </w:r>
      <w:r w:rsidRPr="00F3046C">
        <w:rPr>
          <w:lang w:val="en-GB"/>
        </w:rPr>
        <w:t xml:space="preserve"> approach to predict the heating </w:t>
      </w:r>
      <w:r w:rsidR="004446F2" w:rsidRPr="00F3046C">
        <w:rPr>
          <w:lang w:val="en-GB"/>
        </w:rPr>
        <w:t>behaviour</w:t>
      </w:r>
      <w:r w:rsidRPr="00F3046C">
        <w:rPr>
          <w:lang w:val="en-GB"/>
        </w:rPr>
        <w:t xml:space="preserve"> in heterogeneous food systems subjected to ohmic heating.</w:t>
      </w:r>
    </w:p>
    <w:p w14:paraId="70F30E26" w14:textId="7D9CEAED" w:rsidR="00F3046C" w:rsidRPr="00F3046C" w:rsidRDefault="00F3046C" w:rsidP="00F3046C">
      <w:pPr>
        <w:pStyle w:val="CETBodytext"/>
        <w:rPr>
          <w:lang w:val="en-GB"/>
        </w:rPr>
      </w:pPr>
      <w:r w:rsidRPr="00F3046C">
        <w:rPr>
          <w:lang w:val="en-GB"/>
        </w:rPr>
        <w:t>A coupled multi-physics framework is used to simulate both the electrical and thermal phenomena. The governing equations for electric field distribution (based on current continuity and Ohm’s law) and transient heat transfer (using the standard heat conduction equation) are solved simultaneously. Temperature-dependent electrical conductivity and heat capacity are incorporated to capture the dynamic variations of material properties during the heating process. Additionally, geometric complexities—including solid particles,</w:t>
      </w:r>
      <w:r w:rsidR="004446F2">
        <w:rPr>
          <w:lang w:val="en-GB"/>
        </w:rPr>
        <w:t xml:space="preserve"> convection </w:t>
      </w:r>
      <w:proofErr w:type="gramStart"/>
      <w:r w:rsidR="004446F2">
        <w:rPr>
          <w:lang w:val="en-GB"/>
        </w:rPr>
        <w:t xml:space="preserve">effects </w:t>
      </w:r>
      <w:r w:rsidRPr="00F3046C">
        <w:rPr>
          <w:lang w:val="en-GB"/>
        </w:rPr>
        <w:t xml:space="preserve"> and</w:t>
      </w:r>
      <w:proofErr w:type="gramEnd"/>
      <w:r w:rsidRPr="00F3046C">
        <w:rPr>
          <w:lang w:val="en-GB"/>
        </w:rPr>
        <w:t xml:space="preserve"> varying product matrices—are represented in the simulation to emulate real-world food products.</w:t>
      </w:r>
    </w:p>
    <w:p w14:paraId="3772CADB" w14:textId="5D221E7B" w:rsidR="00F3046C" w:rsidRPr="00F3046C" w:rsidRDefault="00F3046C" w:rsidP="00F3046C">
      <w:pPr>
        <w:pStyle w:val="CETBodytext"/>
        <w:rPr>
          <w:lang w:val="en-GB"/>
        </w:rPr>
      </w:pPr>
      <w:r w:rsidRPr="00F3046C">
        <w:rPr>
          <w:lang w:val="en-GB"/>
        </w:rPr>
        <w:t>The numerical results highlight the formation of localized hotspots in regions with higher electrical conductivity, as well as cooler zones in lower-conductivity regions</w:t>
      </w:r>
      <w:r w:rsidR="00B66B2E">
        <w:rPr>
          <w:lang w:val="en-GB"/>
        </w:rPr>
        <w:t xml:space="preserve">.  </w:t>
      </w:r>
      <w:r w:rsidRPr="00F3046C">
        <w:rPr>
          <w:lang w:val="en-GB"/>
        </w:rPr>
        <w:t xml:space="preserve"> </w:t>
      </w:r>
      <w:r w:rsidR="004446F2">
        <w:rPr>
          <w:lang w:val="en-GB"/>
        </w:rPr>
        <w:t xml:space="preserve">Numerical </w:t>
      </w:r>
      <w:r w:rsidR="004446F2" w:rsidRPr="00F3046C">
        <w:rPr>
          <w:lang w:val="en-GB"/>
        </w:rPr>
        <w:t>analyses</w:t>
      </w:r>
      <w:r w:rsidRPr="00F3046C">
        <w:rPr>
          <w:lang w:val="en-GB"/>
        </w:rPr>
        <w:t xml:space="preserve"> reveal that factors such as voltage gradient, particle size and distribution, and flow </w:t>
      </w:r>
      <w:r w:rsidR="004446F2" w:rsidRPr="00F3046C">
        <w:rPr>
          <w:lang w:val="en-GB"/>
        </w:rPr>
        <w:t>behaviour</w:t>
      </w:r>
      <w:r w:rsidRPr="00F3046C">
        <w:rPr>
          <w:lang w:val="en-GB"/>
        </w:rPr>
        <w:t xml:space="preserve"> (if any) can significantly influence the final temperature profiles.</w:t>
      </w:r>
    </w:p>
    <w:p w14:paraId="576B7E2D" w14:textId="2A02A930" w:rsidR="009B18DF" w:rsidRPr="00841F9E" w:rsidRDefault="00F3046C" w:rsidP="00F3046C">
      <w:pPr>
        <w:pStyle w:val="CETBodytext"/>
        <w:rPr>
          <w:lang w:val="en-GB"/>
        </w:rPr>
      </w:pPr>
      <w:r w:rsidRPr="00F3046C">
        <w:rPr>
          <w:lang w:val="en-GB"/>
        </w:rPr>
        <w:t xml:space="preserve">Validation against experimental data demonstrates good agreement, suggesting that the proposed </w:t>
      </w:r>
      <w:r w:rsidR="00B66B2E" w:rsidRPr="00F3046C">
        <w:rPr>
          <w:lang w:val="en-GB"/>
        </w:rPr>
        <w:t>modelling</w:t>
      </w:r>
      <w:r w:rsidRPr="00F3046C">
        <w:rPr>
          <w:lang w:val="en-GB"/>
        </w:rPr>
        <w:t xml:space="preserve"> approach can serve as a reliable tool for process design and optimization. This work provides valuable insights into how heterogeneity affects thermal treatment outcomes and offers guidance for developing robust ohmic heating </w:t>
      </w:r>
      <w:r w:rsidR="004446F2">
        <w:rPr>
          <w:lang w:val="en-GB"/>
        </w:rPr>
        <w:t>modelling to</w:t>
      </w:r>
      <w:r>
        <w:rPr>
          <w:lang w:val="en-GB"/>
        </w:rPr>
        <w:t xml:space="preserve"> </w:t>
      </w:r>
      <w:r w:rsidRPr="00F3046C">
        <w:rPr>
          <w:lang w:val="en-GB"/>
        </w:rPr>
        <w:t>support efficient process scale-up.</w:t>
      </w:r>
    </w:p>
    <w:p w14:paraId="6803E51F" w14:textId="77777777" w:rsidR="009B18DF" w:rsidRPr="00841F9E" w:rsidRDefault="00600535" w:rsidP="007B4B8E">
      <w:pPr>
        <w:pStyle w:val="CETHeading1"/>
        <w:rPr>
          <w:lang w:val="en-GB"/>
        </w:rPr>
      </w:pPr>
      <w:r w:rsidRPr="00841F9E">
        <w:rPr>
          <w:lang w:val="en-GB"/>
        </w:rPr>
        <w:t>Introduction</w:t>
      </w:r>
    </w:p>
    <w:p w14:paraId="28868C86" w14:textId="77777777" w:rsidR="00F3046C" w:rsidRPr="00F3046C" w:rsidRDefault="00F3046C" w:rsidP="00F3046C">
      <w:pPr>
        <w:pStyle w:val="CETBodytext"/>
        <w:rPr>
          <w:lang w:val="en-GB"/>
        </w:rPr>
      </w:pPr>
      <w:r w:rsidRPr="00F3046C">
        <w:rPr>
          <w:lang w:val="en-GB"/>
        </w:rPr>
        <w:t>Ohmic heating (also known as electrical resistance heating) is a process wherein electric current is passed through a food material to generate internal heat due to its electrical resistance. The heating is governed by Joule’s law, where the volumetric heat generation rate is given by Q = σE², with σ being the electrical conductivity and E the electric field strength. This approach offers a distinct advantage over conventional thermal processing by ensuring rapid and uniform heating, particularly beneficial for heat-sensitive and high-viscosity products.</w:t>
      </w:r>
    </w:p>
    <w:p w14:paraId="7ABF3EB1" w14:textId="77777777" w:rsidR="00F3046C" w:rsidRPr="00F3046C" w:rsidRDefault="00F3046C" w:rsidP="00F3046C">
      <w:pPr>
        <w:pStyle w:val="CETBodytext"/>
        <w:rPr>
          <w:lang w:val="en-GB"/>
        </w:rPr>
      </w:pPr>
      <w:r w:rsidRPr="00F3046C">
        <w:rPr>
          <w:lang w:val="en-GB"/>
        </w:rPr>
        <w:t>The efficacy of ohmic heating strongly depends on the electrical conductivity of the food, which is often temperature-dependent and varies with composition (e.g., water, salt, fat content). Additionally, foods with non-uniform structures such as particulates suspended in a liquid matrix introduce complexities due to variations in thermal and electrical properties</w:t>
      </w:r>
      <w:r>
        <w:rPr>
          <w:lang w:val="en-GB"/>
        </w:rPr>
        <w:t xml:space="preserve">. </w:t>
      </w:r>
      <w:r w:rsidRPr="00F3046C">
        <w:rPr>
          <w:lang w:val="en-GB"/>
        </w:rPr>
        <w:t>In real-world applications, foods are rarely homogeneous. Systems such as soups, stews, or fruit preparations consist of multiple phases — solid particulates within a liquid carrier — and each phase may exhibit distinct electrical and thermal properties. These heterogeneities can lead to uneven heating, where certain regions heat up faster than others, creating "hot spots" or "cold zones" which can compromise safety and quality.</w:t>
      </w:r>
    </w:p>
    <w:p w14:paraId="52FF72AC" w14:textId="1EDD9A4A" w:rsidR="008078FA" w:rsidRPr="00841F9E" w:rsidRDefault="00F3046C" w:rsidP="00F3046C">
      <w:pPr>
        <w:pStyle w:val="CETBodytext"/>
        <w:rPr>
          <w:lang w:val="en-GB"/>
        </w:rPr>
      </w:pPr>
      <w:r w:rsidRPr="00F3046C">
        <w:rPr>
          <w:lang w:val="en-GB"/>
        </w:rPr>
        <w:t xml:space="preserve">Early studies on ohmic heating primarily focused on homogeneous liquids (Sastry and Barach, 1995). As industrial interest grew, research shifted toward understanding heating </w:t>
      </w:r>
      <w:r w:rsidR="004446F2" w:rsidRPr="00F3046C">
        <w:rPr>
          <w:lang w:val="en-GB"/>
        </w:rPr>
        <w:t>behaviour</w:t>
      </w:r>
      <w:r w:rsidRPr="00F3046C">
        <w:rPr>
          <w:lang w:val="en-GB"/>
        </w:rPr>
        <w:t xml:space="preserve"> in multiphase and particulate-laden systems.</w:t>
      </w:r>
      <w:r w:rsidR="004446F2">
        <w:rPr>
          <w:lang w:val="en-GB"/>
        </w:rPr>
        <w:t xml:space="preserve"> </w:t>
      </w:r>
      <w:r w:rsidRPr="00F3046C">
        <w:rPr>
          <w:lang w:val="en-GB"/>
        </w:rPr>
        <w:t xml:space="preserve">Sastry and Li (1996) investigated liquid-particulate mixtures </w:t>
      </w:r>
      <w:r w:rsidR="004446F2">
        <w:rPr>
          <w:lang w:val="en-GB"/>
        </w:rPr>
        <w:t xml:space="preserve">heating </w:t>
      </w:r>
      <w:r w:rsidRPr="00F3046C">
        <w:rPr>
          <w:lang w:val="en-GB"/>
        </w:rPr>
        <w:t xml:space="preserve">and found that particle size and conductivity </w:t>
      </w:r>
      <w:r w:rsidR="004446F2">
        <w:rPr>
          <w:lang w:val="en-GB"/>
        </w:rPr>
        <w:t xml:space="preserve">heterogeneities between liquid and particulate </w:t>
      </w:r>
      <w:r w:rsidR="004446F2" w:rsidRPr="00F3046C">
        <w:rPr>
          <w:lang w:val="en-GB"/>
        </w:rPr>
        <w:t>play</w:t>
      </w:r>
      <w:r w:rsidRPr="00F3046C">
        <w:rPr>
          <w:lang w:val="en-GB"/>
        </w:rPr>
        <w:t xml:space="preserve"> major roles in temperature distribution.</w:t>
      </w:r>
    </w:p>
    <w:p w14:paraId="60589724" w14:textId="0AC496EB" w:rsidR="00B9673F" w:rsidRPr="00841F9E" w:rsidRDefault="00B9673F" w:rsidP="00B9673F">
      <w:pPr>
        <w:pStyle w:val="CETHeading1"/>
        <w:rPr>
          <w:lang w:val="en-GB"/>
        </w:rPr>
      </w:pPr>
      <w:r w:rsidRPr="00841F9E">
        <w:rPr>
          <w:lang w:val="en-GB"/>
        </w:rPr>
        <w:lastRenderedPageBreak/>
        <w:t>Methodology</w:t>
      </w:r>
    </w:p>
    <w:p w14:paraId="41AB3424" w14:textId="71D81422" w:rsidR="00B9673F" w:rsidRPr="00113E0F" w:rsidRDefault="00F3046C" w:rsidP="00113E0F">
      <w:pPr>
        <w:pStyle w:val="CETHeading1"/>
        <w:numPr>
          <w:ilvl w:val="2"/>
          <w:numId w:val="1"/>
        </w:numPr>
      </w:pPr>
      <w:r w:rsidRPr="00113E0F">
        <w:t xml:space="preserve">Numerical modelling </w:t>
      </w:r>
    </w:p>
    <w:p w14:paraId="554B42AF" w14:textId="12A5FC4D" w:rsidR="00F3046C" w:rsidRPr="00113E0F" w:rsidRDefault="00F3046C" w:rsidP="00113E0F">
      <w:pPr>
        <w:pStyle w:val="CETheadingx"/>
      </w:pPr>
      <w:r w:rsidRPr="00113E0F">
        <w:t xml:space="preserve">Models must couple the electrical potential distribution (governed by Laplace’s or Poisson’s equation) with the transient heat conduction equation, including the heat generation term due to ohmic dissipation. The presence of materials with different conductivities necessitates mesh refinement at interfaces and careful treatment of boundary </w:t>
      </w:r>
      <w:proofErr w:type="spellStart"/>
      <w:proofErr w:type="gramStart"/>
      <w:r w:rsidRPr="00113E0F">
        <w:t>conditions.Some</w:t>
      </w:r>
      <w:proofErr w:type="spellEnd"/>
      <w:proofErr w:type="gramEnd"/>
      <w:r w:rsidRPr="00113E0F">
        <w:t xml:space="preserve">  research has introduced multi-physics modeling, incorporating aspects like fluid flow, microbial inactivation kinetics, and phase change (</w:t>
      </w:r>
      <w:proofErr w:type="spellStart"/>
      <w:r w:rsidRPr="00113E0F">
        <w:t>Jittanit</w:t>
      </w:r>
      <w:proofErr w:type="spellEnd"/>
      <w:r w:rsidRPr="00113E0F">
        <w:t xml:space="preserve"> et al., 2010). However, full-scale industrial models for irregular, real food products remain scarce. Most studies use idealized geometries or simplified assumptions. There is a clear need for high-fidelity, experimentally validated models tailored to industrial processing </w:t>
      </w:r>
      <w:proofErr w:type="spellStart"/>
      <w:proofErr w:type="gramStart"/>
      <w:r w:rsidRPr="00113E0F">
        <w:t>scenarios.The</w:t>
      </w:r>
      <w:proofErr w:type="spellEnd"/>
      <w:proofErr w:type="gramEnd"/>
      <w:r w:rsidRPr="00113E0F">
        <w:t xml:space="preserve"> global set of governing equations is the following:</w:t>
      </w:r>
    </w:p>
    <w:p w14:paraId="74119242" w14:textId="02B0D013" w:rsidR="00F3046C" w:rsidRPr="00113E0F" w:rsidRDefault="00F3046C" w:rsidP="00113E0F">
      <w:pPr>
        <w:pStyle w:val="CETHeading1"/>
        <w:numPr>
          <w:ilvl w:val="2"/>
          <w:numId w:val="1"/>
        </w:numPr>
      </w:pPr>
      <w:r w:rsidRPr="00113E0F">
        <w:t>Electrical Field Equation (Laplace Equation)</w:t>
      </w:r>
    </w:p>
    <w:p w14:paraId="6124F18D" w14:textId="77777777" w:rsidR="00F3046C" w:rsidRPr="00D83423" w:rsidRDefault="00F3046C" w:rsidP="00113E0F">
      <w:pPr>
        <w:pStyle w:val="CETheadingx"/>
      </w:pPr>
      <w:r w:rsidRPr="00D83423">
        <w:t>Ohmic heating relies on the passage of electrical current through food, generating heat due to electrical resistance.</w:t>
      </w:r>
    </w:p>
    <w:p w14:paraId="363A604C" w14:textId="289DAE3A" w:rsidR="00113E0F" w:rsidRPr="00113E0F" w:rsidRDefault="00113E0F" w:rsidP="00113E0F">
      <w:pPr>
        <w:rPr>
          <w:rFonts w:ascii="Cambria" w:eastAsia="MS Mincho" w:hAnsi="Cambria"/>
          <w:iCs/>
          <w:szCs w:val="18"/>
          <w:lang w:val="en-US"/>
        </w:rPr>
      </w:pPr>
      <w:r>
        <w:rPr>
          <w:rFonts w:ascii="Cambria Math" w:hAnsi="Cambria Math" w:cs="Cambria Math"/>
          <w:b/>
          <w:bCs/>
        </w:rPr>
        <w:t xml:space="preserve"> </w:t>
      </w:r>
      <m:oMath>
        <m:r>
          <w:rPr>
            <w:rFonts w:ascii="Cambria Math" w:eastAsia="MS Mincho" w:hAnsi="Cambria Math"/>
            <w:szCs w:val="18"/>
            <w:lang w:val="en-US"/>
          </w:rPr>
          <m:t xml:space="preserve">∇ · </m:t>
        </m:r>
        <m:d>
          <m:dPr>
            <m:ctrlPr>
              <w:rPr>
                <w:rFonts w:ascii="Cambria Math" w:eastAsia="MS Mincho" w:hAnsi="Cambria Math"/>
                <w:i/>
                <w:szCs w:val="18"/>
                <w:lang w:val="en-US"/>
              </w:rPr>
            </m:ctrlPr>
          </m:dPr>
          <m:e>
            <m:r>
              <w:rPr>
                <w:rFonts w:ascii="Cambria Math" w:eastAsia="MS Mincho" w:hAnsi="Cambria Math"/>
                <w:szCs w:val="18"/>
                <w:lang w:val="en-US"/>
              </w:rPr>
              <m:t>σ</m:t>
            </m:r>
            <m:d>
              <m:dPr>
                <m:ctrlPr>
                  <w:rPr>
                    <w:rFonts w:ascii="Cambria Math" w:eastAsia="MS Mincho" w:hAnsi="Cambria Math"/>
                    <w:i/>
                    <w:szCs w:val="18"/>
                    <w:lang w:val="en-US"/>
                  </w:rPr>
                </m:ctrlPr>
              </m:dPr>
              <m:e>
                <m:acc>
                  <m:accPr>
                    <m:chr m:val="⃗"/>
                    <m:ctrlPr>
                      <w:rPr>
                        <w:rFonts w:ascii="Cambria Math" w:eastAsia="MS Mincho" w:hAnsi="Cambria Math"/>
                        <w:i/>
                        <w:szCs w:val="18"/>
                        <w:lang w:val="en-US"/>
                      </w:rPr>
                    </m:ctrlPr>
                  </m:accPr>
                  <m:e>
                    <m:r>
                      <w:rPr>
                        <w:rFonts w:ascii="Cambria Math" w:eastAsia="MS Mincho" w:hAnsi="Cambria Math"/>
                        <w:szCs w:val="18"/>
                        <w:lang w:val="en-US"/>
                      </w:rPr>
                      <m:t>x</m:t>
                    </m:r>
                  </m:e>
                </m:acc>
                <m:r>
                  <w:rPr>
                    <w:rFonts w:ascii="Cambria Math" w:eastAsia="MS Mincho" w:hAnsi="Cambria Math"/>
                    <w:szCs w:val="18"/>
                    <w:lang w:val="en-US"/>
                  </w:rPr>
                  <m:t>, T</m:t>
                </m:r>
              </m:e>
            </m:d>
            <m:r>
              <w:rPr>
                <w:rFonts w:ascii="Cambria Math" w:eastAsia="MS Mincho" w:hAnsi="Cambria Math"/>
                <w:szCs w:val="18"/>
                <w:lang w:val="en-US"/>
              </w:rPr>
              <m:t>∇φ</m:t>
            </m:r>
          </m:e>
        </m:d>
        <m:r>
          <w:rPr>
            <w:rFonts w:ascii="Cambria Math" w:eastAsia="MS Mincho" w:hAnsi="Cambria Math"/>
            <w:szCs w:val="18"/>
            <w:lang w:val="en-US"/>
          </w:rPr>
          <m:t>= 0</m:t>
        </m:r>
      </m:oMath>
      <w:r>
        <w:rPr>
          <w:rFonts w:ascii="Cambria Math" w:eastAsia="MS Mincho" w:hAnsi="Cambria Math"/>
          <w:i/>
          <w:szCs w:val="18"/>
          <w:lang w:val="en-US"/>
        </w:rPr>
        <w:tab/>
      </w:r>
      <w:r>
        <w:rPr>
          <w:rFonts w:ascii="Cambria Math" w:eastAsia="MS Mincho" w:hAnsi="Cambria Math"/>
          <w:i/>
          <w:szCs w:val="18"/>
          <w:lang w:val="en-US"/>
        </w:rPr>
        <w:tab/>
      </w:r>
      <w:r>
        <w:rPr>
          <w:rFonts w:ascii="Cambria Math" w:eastAsia="MS Mincho" w:hAnsi="Cambria Math"/>
          <w:i/>
          <w:szCs w:val="18"/>
          <w:lang w:val="en-US"/>
        </w:rPr>
        <w:tab/>
      </w:r>
      <w:r w:rsidRPr="00113E0F">
        <w:rPr>
          <w:rFonts w:ascii="Cambria Math" w:eastAsia="MS Mincho" w:hAnsi="Cambria Math"/>
          <w:iCs/>
          <w:szCs w:val="18"/>
          <w:lang w:val="en-US"/>
        </w:rPr>
        <w:t>(1)</w:t>
      </w:r>
    </w:p>
    <w:p w14:paraId="5C5E2212" w14:textId="77777777" w:rsidR="00F3046C" w:rsidRPr="00D83423" w:rsidRDefault="00F3046C" w:rsidP="00113E0F">
      <w:pPr>
        <w:pStyle w:val="CETheadingx"/>
      </w:pPr>
      <w:r w:rsidRPr="00D83423">
        <w:t>Where:</w:t>
      </w:r>
    </w:p>
    <w:p w14:paraId="224DEBA0" w14:textId="77777777" w:rsidR="00F3046C" w:rsidRPr="00D83423" w:rsidRDefault="00F3046C" w:rsidP="00113E0F">
      <w:pPr>
        <w:pStyle w:val="CETheadingx"/>
      </w:pPr>
      <w:proofErr w:type="gramStart"/>
      <w:r w:rsidRPr="00D83423">
        <w:t>σ(</w:t>
      </w:r>
      <w:proofErr w:type="gramEnd"/>
      <w:r w:rsidRPr="00D83423">
        <w:rPr>
          <w:rFonts w:ascii="Cambria Math" w:hAnsi="Cambria Math" w:cs="Cambria Math"/>
        </w:rPr>
        <w:t>𝑥</w:t>
      </w:r>
      <w:r w:rsidRPr="00D83423">
        <w:t>, T): electrical conductivity [S/m], varies with position and temperature</w:t>
      </w:r>
    </w:p>
    <w:p w14:paraId="22551FDC" w14:textId="77777777" w:rsidR="00F3046C" w:rsidRPr="00D83423" w:rsidRDefault="00F3046C" w:rsidP="00113E0F">
      <w:pPr>
        <w:pStyle w:val="CETheadingx"/>
      </w:pPr>
      <w:r w:rsidRPr="00D83423">
        <w:t>φ: electric potential [V]</w:t>
      </w:r>
    </w:p>
    <w:p w14:paraId="36B40062" w14:textId="77777777" w:rsidR="00F3046C" w:rsidRPr="00D83423" w:rsidRDefault="00F3046C" w:rsidP="00113E0F">
      <w:pPr>
        <w:pStyle w:val="CETheadingx"/>
      </w:pPr>
      <w:r w:rsidRPr="00D83423">
        <w:t>x: spatial coordinate</w:t>
      </w:r>
    </w:p>
    <w:p w14:paraId="5E394EB8" w14:textId="5F037EAC" w:rsidR="00F3046C" w:rsidRPr="00113E0F" w:rsidRDefault="00F3046C" w:rsidP="00113E0F">
      <w:pPr>
        <w:pStyle w:val="CETHeading1"/>
        <w:numPr>
          <w:ilvl w:val="2"/>
          <w:numId w:val="1"/>
        </w:numPr>
      </w:pPr>
      <w:r w:rsidRPr="00113E0F">
        <w:t>Heat Generation (Joule Heating Term)</w:t>
      </w:r>
    </w:p>
    <w:p w14:paraId="578DC441" w14:textId="2432AEB1" w:rsidR="00F3046C" w:rsidRPr="00113E0F" w:rsidRDefault="00113E0F" w:rsidP="00113E0F">
      <w:pPr>
        <w:rPr>
          <w:rFonts w:ascii="Cambria" w:eastAsia="MS Mincho" w:hAnsi="Cambria"/>
          <w:szCs w:val="18"/>
          <w:lang w:val="en-US"/>
        </w:rPr>
      </w:pPr>
      <w:r w:rsidRPr="00113E0F">
        <w:rPr>
          <w:rFonts w:ascii="Cambria Math" w:eastAsia="MS Mincho" w:hAnsi="Cambria Math"/>
          <w:i/>
          <w:sz w:val="24"/>
          <w:szCs w:val="22"/>
          <w:lang w:val="en-US"/>
        </w:rPr>
        <w:br/>
      </w:r>
      <m:oMath>
        <m:r>
          <w:rPr>
            <w:rFonts w:ascii="Cambria Math" w:eastAsia="MS Mincho" w:hAnsi="Cambria Math"/>
            <w:szCs w:val="18"/>
            <w:lang w:val="en-US"/>
          </w:rPr>
          <m:t>Q</m:t>
        </m:r>
        <m:d>
          <m:dPr>
            <m:ctrlPr>
              <w:rPr>
                <w:rFonts w:ascii="Cambria Math" w:eastAsia="MS Mincho" w:hAnsi="Cambria Math"/>
                <w:i/>
                <w:szCs w:val="18"/>
                <w:lang w:val="en-US"/>
              </w:rPr>
            </m:ctrlPr>
          </m:dPr>
          <m:e>
            <m:acc>
              <m:accPr>
                <m:chr m:val="⃗"/>
                <m:ctrlPr>
                  <w:rPr>
                    <w:rFonts w:ascii="Cambria Math" w:eastAsia="MS Mincho" w:hAnsi="Cambria Math"/>
                    <w:i/>
                    <w:szCs w:val="18"/>
                    <w:lang w:val="en-US"/>
                  </w:rPr>
                </m:ctrlPr>
              </m:accPr>
              <m:e>
                <m:r>
                  <w:rPr>
                    <w:rFonts w:ascii="Cambria Math" w:eastAsia="MS Mincho" w:hAnsi="Cambria Math"/>
                    <w:szCs w:val="18"/>
                    <w:lang w:val="en-US"/>
                  </w:rPr>
                  <m:t>x</m:t>
                </m:r>
              </m:e>
            </m:acc>
            <m:r>
              <w:rPr>
                <w:rFonts w:ascii="Cambria Math" w:eastAsia="MS Mincho" w:hAnsi="Cambria Math"/>
                <w:szCs w:val="18"/>
                <w:lang w:val="en-US"/>
              </w:rPr>
              <m:t>, T</m:t>
            </m:r>
          </m:e>
        </m:d>
        <m:r>
          <w:rPr>
            <w:rFonts w:ascii="Cambria Math" w:eastAsia="MS Mincho" w:hAnsi="Cambria Math"/>
            <w:szCs w:val="18"/>
            <w:lang w:val="en-US"/>
          </w:rPr>
          <m:t>= σ</m:t>
        </m:r>
        <m:d>
          <m:dPr>
            <m:ctrlPr>
              <w:rPr>
                <w:rFonts w:ascii="Cambria Math" w:eastAsia="MS Mincho" w:hAnsi="Cambria Math"/>
                <w:i/>
                <w:szCs w:val="18"/>
                <w:lang w:val="en-US"/>
              </w:rPr>
            </m:ctrlPr>
          </m:dPr>
          <m:e>
            <m:acc>
              <m:accPr>
                <m:chr m:val="⃗"/>
                <m:ctrlPr>
                  <w:rPr>
                    <w:rFonts w:ascii="Cambria Math" w:eastAsia="MS Mincho" w:hAnsi="Cambria Math"/>
                    <w:i/>
                    <w:szCs w:val="18"/>
                    <w:lang w:val="en-US"/>
                  </w:rPr>
                </m:ctrlPr>
              </m:accPr>
              <m:e>
                <m:r>
                  <w:rPr>
                    <w:rFonts w:ascii="Cambria Math" w:eastAsia="MS Mincho" w:hAnsi="Cambria Math"/>
                    <w:szCs w:val="18"/>
                    <w:lang w:val="en-US"/>
                  </w:rPr>
                  <m:t>x</m:t>
                </m:r>
              </m:e>
            </m:acc>
            <m:r>
              <w:rPr>
                <w:rFonts w:ascii="Cambria Math" w:eastAsia="MS Mincho" w:hAnsi="Cambria Math"/>
                <w:szCs w:val="18"/>
                <w:lang w:val="en-US"/>
              </w:rPr>
              <m:t>, T</m:t>
            </m:r>
          </m:e>
        </m:d>
        <m:r>
          <w:rPr>
            <w:rFonts w:ascii="Cambria Math" w:eastAsia="MS Mincho" w:hAnsi="Cambria Math"/>
            <w:szCs w:val="18"/>
            <w:lang w:val="en-US"/>
          </w:rPr>
          <m:t>⋅</m:t>
        </m:r>
        <m:sSup>
          <m:sSupPr>
            <m:ctrlPr>
              <w:rPr>
                <w:rFonts w:ascii="Cambria Math" w:eastAsia="MS Mincho" w:hAnsi="Cambria Math"/>
                <w:i/>
                <w:szCs w:val="18"/>
                <w:lang w:val="en-US"/>
              </w:rPr>
            </m:ctrlPr>
          </m:sSupPr>
          <m:e>
            <m:d>
              <m:dPr>
                <m:begChr m:val="|"/>
                <m:endChr m:val="|"/>
                <m:ctrlPr>
                  <w:rPr>
                    <w:rFonts w:ascii="Cambria Math" w:eastAsia="MS Mincho" w:hAnsi="Cambria Math"/>
                    <w:i/>
                    <w:szCs w:val="18"/>
                    <w:lang w:val="en-US"/>
                  </w:rPr>
                </m:ctrlPr>
              </m:dPr>
              <m:e>
                <m:r>
                  <m:rPr>
                    <m:sty m:val="p"/>
                  </m:rPr>
                  <w:rPr>
                    <w:rFonts w:ascii="Cambria Math" w:eastAsia="MS Mincho" w:hAnsi="Cambria Math"/>
                    <w:szCs w:val="18"/>
                    <w:lang w:val="en-US"/>
                  </w:rPr>
                  <m:t>∇</m:t>
                </m:r>
                <m:r>
                  <w:rPr>
                    <w:rFonts w:ascii="Cambria Math" w:eastAsia="MS Mincho" w:hAnsi="Cambria Math"/>
                    <w:szCs w:val="18"/>
                    <w:lang w:val="en-US"/>
                  </w:rPr>
                  <m:t>φ</m:t>
                </m:r>
              </m:e>
            </m:d>
          </m:e>
          <m:sup>
            <m:r>
              <w:rPr>
                <w:rFonts w:ascii="Cambria Math" w:eastAsia="MS Mincho" w:hAnsi="Cambria Math"/>
                <w:szCs w:val="18"/>
                <w:lang w:val="en-US"/>
              </w:rPr>
              <m:t>2</m:t>
            </m:r>
          </m:sup>
        </m:sSup>
      </m:oMath>
      <w:r>
        <w:rPr>
          <w:rFonts w:ascii="Cambria Math" w:eastAsia="MS Mincho" w:hAnsi="Cambria Math"/>
          <w:i/>
          <w:szCs w:val="18"/>
          <w:lang w:val="en-US"/>
        </w:rPr>
        <w:tab/>
      </w:r>
      <w:r>
        <w:rPr>
          <w:rFonts w:ascii="Cambria Math" w:eastAsia="MS Mincho" w:hAnsi="Cambria Math"/>
          <w:i/>
          <w:szCs w:val="18"/>
          <w:lang w:val="en-US"/>
        </w:rPr>
        <w:tab/>
      </w:r>
      <w:r>
        <w:rPr>
          <w:rFonts w:ascii="Cambria Math" w:eastAsia="MS Mincho" w:hAnsi="Cambria Math"/>
          <w:i/>
          <w:szCs w:val="18"/>
          <w:lang w:val="en-US"/>
        </w:rPr>
        <w:tab/>
      </w:r>
      <w:r w:rsidRPr="00113E0F">
        <w:rPr>
          <w:rFonts w:ascii="Cambria Math" w:eastAsia="MS Mincho" w:hAnsi="Cambria Math"/>
          <w:iCs/>
          <w:szCs w:val="18"/>
          <w:lang w:val="en-US"/>
        </w:rPr>
        <w:t>(2)</w:t>
      </w:r>
    </w:p>
    <w:p w14:paraId="74AEE287" w14:textId="77777777" w:rsidR="00F3046C" w:rsidRPr="00D83423" w:rsidRDefault="00F3046C" w:rsidP="00113E0F">
      <w:pPr>
        <w:pStyle w:val="CETheadingx"/>
      </w:pPr>
      <w:r w:rsidRPr="00D83423">
        <w:t>This equation represents the volumetric heat source generated by the electrical current within the material.</w:t>
      </w:r>
    </w:p>
    <w:p w14:paraId="74354AFA" w14:textId="0852E4BE" w:rsidR="00F3046C" w:rsidRPr="00D83423" w:rsidRDefault="00F3046C" w:rsidP="00113E0F">
      <w:pPr>
        <w:pStyle w:val="CETHeading1"/>
        <w:numPr>
          <w:ilvl w:val="2"/>
          <w:numId w:val="1"/>
        </w:numPr>
      </w:pPr>
      <w:r w:rsidRPr="00D83423">
        <w:t>Heat Transfer Equation (Energy Balance)</w:t>
      </w:r>
    </w:p>
    <w:p w14:paraId="0F2EB482" w14:textId="38A4F00F" w:rsidR="00113E0F" w:rsidRPr="00113E0F" w:rsidRDefault="00113E0F" w:rsidP="00113E0F">
      <w:pPr>
        <w:pStyle w:val="CETEquation"/>
      </w:pPr>
      <m:oMath>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x</m:t>
                </m:r>
              </m:e>
            </m:acc>
          </m:e>
        </m:d>
        <m:sSub>
          <m:sSubPr>
            <m:ctrlPr>
              <w:rPr>
                <w:rFonts w:ascii="Cambria Math" w:hAnsi="Cambria Math"/>
              </w:rPr>
            </m:ctrlPr>
          </m:sSubPr>
          <m:e>
            <m:sSub>
              <m:sSubPr>
                <m:ctrlPr>
                  <w:rPr>
                    <w:rFonts w:ascii="Cambria Math" w:eastAsiaTheme="minorEastAsia" w:hAnsi="Cambria Math" w:cstheme="minorBidi"/>
                  </w:rPr>
                </m:ctrlPr>
              </m:sSubPr>
              <m:e>
                <m:r>
                  <w:rPr>
                    <w:rFonts w:ascii="Cambria Math" w:hAnsi="Cambria Math"/>
                  </w:rPr>
                  <m:t>c</m:t>
                </m:r>
              </m:e>
              <m:sub>
                <m:r>
                  <w:rPr>
                    <w:rFonts w:ascii="Cambria Math" w:hAnsi="Cambria Math"/>
                  </w:rPr>
                  <m:t>p</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r>
                  <m:rPr>
                    <m:sty m:val="p"/>
                  </m:rPr>
                  <w:rPr>
                    <w:rFonts w:ascii="Cambria Math" w:hAnsi="Cambria Math"/>
                  </w:rPr>
                  <m:t xml:space="preserve">, </m:t>
                </m:r>
                <m:r>
                  <w:rPr>
                    <w:rFonts w:ascii="Cambria Math" w:hAnsi="Cambria Math"/>
                  </w:rPr>
                  <m:t>T</m:t>
                </m:r>
              </m:e>
            </m:d>
            <m:r>
              <m:rPr>
                <m:sty m:val="p"/>
              </m:rPr>
              <w:rPr>
                <w:rFonts w:ascii="Cambria Math" w:hAnsi="Cambria Math"/>
              </w:rPr>
              <m:t xml:space="preserve"> </m:t>
            </m:r>
            <m:f>
              <m:fPr>
                <m:ctrlPr>
                  <w:rPr>
                    <w:rFonts w:ascii="Cambria Math" w:eastAsiaTheme="minorEastAsia" w:hAnsi="Cambria Math" w:cstheme="minorBidi"/>
                  </w:rPr>
                </m:ctrlPr>
              </m:fPr>
              <m:num>
                <m:r>
                  <w:rPr>
                    <w:rFonts w:ascii="Cambria Math" w:hAnsi="Cambria Math"/>
                  </w:rPr>
                  <m:t>∂T</m:t>
                </m:r>
              </m:num>
              <m:den>
                <m:r>
                  <w:rPr>
                    <w:rFonts w:ascii="Cambria Math" w:hAnsi="Cambria Math"/>
                  </w:rPr>
                  <m:t>∂t</m:t>
                </m:r>
              </m:den>
            </m:f>
          </m:e>
          <m:sub/>
        </m:sSub>
        <m:r>
          <m:rPr>
            <m:sty m:val="p"/>
          </m:rPr>
          <w:rPr>
            <w:rFonts w:ascii="Cambria Math" w:hAnsi="Cambria Math"/>
          </w:rPr>
          <m:t xml:space="preserve">= </m:t>
        </m:r>
        <m:r>
          <w:rPr>
            <w:rFonts w:ascii="Cambria Math" w:hAnsi="Cambria Math"/>
          </w:rPr>
          <m:t>∇</m:t>
        </m:r>
        <m:r>
          <m:rPr>
            <m:sty m:val="p"/>
          </m:rPr>
          <w:rPr>
            <w:rFonts w:ascii="Cambria Math" w:hAnsi="Cambria Math"/>
          </w:rPr>
          <m:t xml:space="preserve"> · </m:t>
        </m:r>
        <m:d>
          <m:dPr>
            <m:ctrlPr>
              <w:rPr>
                <w:rFonts w:ascii="Cambria Math" w:hAnsi="Cambria Math"/>
              </w:rPr>
            </m:ctrlPr>
          </m:dPr>
          <m:e>
            <m:r>
              <w:rPr>
                <w:rFonts w:ascii="Cambria Math" w:hAnsi="Cambria Math"/>
              </w:rPr>
              <m:t>k</m:t>
            </m:r>
            <m:d>
              <m:dPr>
                <m:ctrlPr>
                  <w:rPr>
                    <w:rFonts w:ascii="Cambria Math" w:hAnsi="Cambria Math"/>
                  </w:rPr>
                </m:ctrlPr>
              </m:dPr>
              <m:e>
                <m:acc>
                  <m:accPr>
                    <m:chr m:val="⃗"/>
                    <m:ctrlPr>
                      <w:rPr>
                        <w:rFonts w:ascii="Cambria Math" w:hAnsi="Cambria Math"/>
                      </w:rPr>
                    </m:ctrlPr>
                  </m:accPr>
                  <m:e>
                    <m:r>
                      <w:rPr>
                        <w:rFonts w:ascii="Cambria Math" w:hAnsi="Cambria Math"/>
                      </w:rPr>
                      <m:t>x</m:t>
                    </m:r>
                  </m:e>
                </m:acc>
                <m:r>
                  <m:rPr>
                    <m:sty m:val="p"/>
                  </m:rPr>
                  <w:rPr>
                    <w:rFonts w:ascii="Cambria Math" w:hAnsi="Cambria Math"/>
                  </w:rPr>
                  <m:t xml:space="preserve">, </m:t>
                </m:r>
                <m:r>
                  <w:rPr>
                    <w:rFonts w:ascii="Cambria Math" w:hAnsi="Cambria Math"/>
                  </w:rPr>
                  <m:t>T</m:t>
                </m:r>
              </m:e>
            </m:d>
            <m:r>
              <w:rPr>
                <w:rFonts w:ascii="Cambria Math" w:hAnsi="Cambria Math"/>
              </w:rPr>
              <m:t>∇T</m:t>
            </m:r>
          </m:e>
        </m:d>
        <m:r>
          <m:rPr>
            <m:sty m:val="p"/>
          </m:rPr>
          <w:rPr>
            <w:rFonts w:ascii="Cambria Math" w:hAnsi="Cambria Math"/>
          </w:rPr>
          <m:t xml:space="preserve">+ </m:t>
        </m:r>
        <m:r>
          <w:rPr>
            <w:rFonts w:ascii="Cambria Math" w:hAnsi="Cambria Math"/>
          </w:rPr>
          <m:t>Q</m:t>
        </m:r>
        <m:d>
          <m:dPr>
            <m:ctrlPr>
              <w:rPr>
                <w:rFonts w:ascii="Cambria Math" w:hAnsi="Cambria Math"/>
              </w:rPr>
            </m:ctrlPr>
          </m:dPr>
          <m:e>
            <m:acc>
              <m:accPr>
                <m:chr m:val="⃗"/>
                <m:ctrlPr>
                  <w:rPr>
                    <w:rFonts w:ascii="Cambria Math" w:hAnsi="Cambria Math"/>
                  </w:rPr>
                </m:ctrlPr>
              </m:accPr>
              <m:e>
                <m:r>
                  <w:rPr>
                    <w:rFonts w:ascii="Cambria Math" w:hAnsi="Cambria Math"/>
                  </w:rPr>
                  <m:t>x</m:t>
                </m:r>
              </m:e>
            </m:acc>
            <m:r>
              <m:rPr>
                <m:sty m:val="p"/>
              </m:rPr>
              <w:rPr>
                <w:rFonts w:ascii="Cambria Math" w:hAnsi="Cambria Math"/>
              </w:rPr>
              <m:t xml:space="preserve">, </m:t>
            </m:r>
            <m:r>
              <w:rPr>
                <w:rFonts w:ascii="Cambria Math" w:hAnsi="Cambria Math"/>
              </w:rPr>
              <m:t>T</m:t>
            </m:r>
          </m:e>
        </m:d>
      </m:oMath>
      <w:r>
        <w:tab/>
      </w:r>
      <w:r>
        <w:tab/>
      </w:r>
      <w:r>
        <w:tab/>
        <w:t>(3)</w:t>
      </w:r>
    </w:p>
    <w:p w14:paraId="44FC1322" w14:textId="77777777" w:rsidR="00F3046C" w:rsidRPr="00D83423" w:rsidRDefault="00F3046C" w:rsidP="00113E0F">
      <w:pPr>
        <w:pStyle w:val="CETheadingx"/>
      </w:pPr>
      <w:r w:rsidRPr="00D83423">
        <w:t>Where:</w:t>
      </w:r>
    </w:p>
    <w:p w14:paraId="1576E5B5" w14:textId="77777777" w:rsidR="00F3046C" w:rsidRPr="00D83423" w:rsidRDefault="00F3046C" w:rsidP="00113E0F">
      <w:pPr>
        <w:pStyle w:val="CETheadingx"/>
      </w:pPr>
      <w:r w:rsidRPr="00D83423">
        <w:rPr>
          <w:rFonts w:hint="eastAsia"/>
        </w:rPr>
        <w:t>ρ</w:t>
      </w:r>
      <w:r w:rsidRPr="00D83423">
        <w:t>: density [kg/m³]</w:t>
      </w:r>
    </w:p>
    <w:p w14:paraId="0D5708E1" w14:textId="77777777" w:rsidR="00F3046C" w:rsidRPr="00D83423" w:rsidRDefault="00F3046C" w:rsidP="00113E0F">
      <w:pPr>
        <w:pStyle w:val="CETheadingx"/>
      </w:pPr>
      <w:r w:rsidRPr="00D83423">
        <w:t>cp: specific heat capacity [J/</w:t>
      </w:r>
      <w:proofErr w:type="spellStart"/>
      <w:r w:rsidRPr="00D83423">
        <w:t>kg·K</w:t>
      </w:r>
      <w:proofErr w:type="spellEnd"/>
      <w:r w:rsidRPr="00D83423">
        <w:t>]</w:t>
      </w:r>
    </w:p>
    <w:p w14:paraId="5EFC5516" w14:textId="77777777" w:rsidR="00F3046C" w:rsidRPr="00D83423" w:rsidRDefault="00F3046C" w:rsidP="00113E0F">
      <w:pPr>
        <w:pStyle w:val="CETheadingx"/>
      </w:pPr>
      <w:r w:rsidRPr="00D83423">
        <w:t>k: thermal conductivity [W/</w:t>
      </w:r>
      <w:proofErr w:type="spellStart"/>
      <w:r w:rsidRPr="00D83423">
        <w:t>m·K</w:t>
      </w:r>
      <w:proofErr w:type="spellEnd"/>
      <w:r w:rsidRPr="00D83423">
        <w:t>]</w:t>
      </w:r>
    </w:p>
    <w:p w14:paraId="1159136C" w14:textId="77777777" w:rsidR="00F3046C" w:rsidRPr="00D83423" w:rsidRDefault="00F3046C" w:rsidP="00113E0F">
      <w:pPr>
        <w:pStyle w:val="CETheadingx"/>
      </w:pPr>
      <w:r w:rsidRPr="00D83423">
        <w:t>T: temperature [K]</w:t>
      </w:r>
    </w:p>
    <w:p w14:paraId="214AD554" w14:textId="77777777" w:rsidR="00F3046C" w:rsidRPr="00D83423" w:rsidRDefault="00F3046C" w:rsidP="00113E0F">
      <w:pPr>
        <w:pStyle w:val="CETheadingx"/>
      </w:pPr>
      <w:r w:rsidRPr="00D83423">
        <w:t>Q: volumetric heat source from ohmic heating [W/m³]</w:t>
      </w:r>
    </w:p>
    <w:p w14:paraId="4EE6A8BE" w14:textId="71DF61F9" w:rsidR="00F3046C" w:rsidRPr="00E96501" w:rsidRDefault="00F3046C" w:rsidP="00113E0F">
      <w:pPr>
        <w:pStyle w:val="CETHeading1"/>
        <w:numPr>
          <w:ilvl w:val="2"/>
          <w:numId w:val="1"/>
        </w:numPr>
      </w:pPr>
      <w:r w:rsidRPr="00E96501">
        <w:t xml:space="preserve"> Multiphase Interface Conditions</w:t>
      </w:r>
    </w:p>
    <w:p w14:paraId="5D7B9BA0" w14:textId="77777777" w:rsidR="00113E0F" w:rsidRDefault="00F3046C" w:rsidP="00113E0F">
      <w:pPr>
        <w:pStyle w:val="CETheadingx"/>
      </w:pPr>
      <w:r w:rsidRPr="00D83423">
        <w:t>At interfaces between distinct regions (e.g., solids in liquid):</w:t>
      </w:r>
    </w:p>
    <w:p w14:paraId="06C1DAA9" w14:textId="68C9D242" w:rsidR="00113E0F" w:rsidRPr="00113E0F" w:rsidRDefault="00113E0F" w:rsidP="00113E0F">
      <w:pPr>
        <w:pStyle w:val="CETheadingx"/>
      </w:pPr>
      <w:r w:rsidRPr="00113E0F">
        <w:rPr>
          <w:rFonts w:eastAsia="MS Mincho"/>
        </w:rPr>
        <w:br/>
      </w:r>
      <m:oMath>
        <m:sSub>
          <m:sSubPr>
            <m:ctrlPr>
              <w:rPr>
                <w:rFonts w:ascii="Cambria Math" w:eastAsia="MS Mincho" w:hAnsi="Cambria Math"/>
              </w:rPr>
            </m:ctrlPr>
          </m:sSubPr>
          <m:e>
            <m:r>
              <w:rPr>
                <w:rFonts w:ascii="Cambria Math" w:eastAsia="MS Mincho" w:hAnsi="Cambria Math"/>
              </w:rPr>
              <m:t>T</m:t>
            </m:r>
          </m:e>
          <m:sub>
            <m:d>
              <m:dPr>
                <m:begChr m:val="{"/>
                <m:endChr m:val="}"/>
                <m:ctrlPr>
                  <w:rPr>
                    <w:rFonts w:ascii="Cambria Math" w:eastAsia="MS Mincho" w:hAnsi="Cambria Math"/>
                  </w:rPr>
                </m:ctrlPr>
              </m:dPr>
              <m:e>
                <m:r>
                  <w:rPr>
                    <w:rFonts w:ascii="Cambria Math" w:eastAsia="MS Mincho" w:hAnsi="Cambria Math"/>
                  </w:rPr>
                  <m:t>solid</m:t>
                </m:r>
              </m:e>
            </m:d>
          </m:sub>
        </m:sSub>
        <m:r>
          <m:rPr>
            <m:sty m:val="p"/>
          </m:rPr>
          <w:rPr>
            <w:rFonts w:ascii="Cambria Math" w:eastAsia="MS Mincho" w:hAnsi="Cambria Math"/>
          </w:rPr>
          <m:t xml:space="preserve">= </m:t>
        </m:r>
        <m:sSub>
          <m:sSubPr>
            <m:ctrlPr>
              <w:rPr>
                <w:rFonts w:ascii="Cambria Math" w:eastAsia="MS Mincho" w:hAnsi="Cambria Math"/>
              </w:rPr>
            </m:ctrlPr>
          </m:sSubPr>
          <m:e>
            <m:r>
              <w:rPr>
                <w:rFonts w:ascii="Cambria Math" w:eastAsia="MS Mincho" w:hAnsi="Cambria Math"/>
              </w:rPr>
              <m:t>T</m:t>
            </m:r>
          </m:e>
          <m:sub>
            <m:d>
              <m:dPr>
                <m:begChr m:val="{"/>
                <m:endChr m:val="}"/>
                <m:ctrlPr>
                  <w:rPr>
                    <w:rFonts w:ascii="Cambria Math" w:eastAsia="MS Mincho" w:hAnsi="Cambria Math"/>
                  </w:rPr>
                </m:ctrlPr>
              </m:dPr>
              <m:e>
                <m:r>
                  <w:rPr>
                    <w:rFonts w:ascii="Cambria Math" w:eastAsia="MS Mincho" w:hAnsi="Cambria Math"/>
                  </w:rPr>
                  <m:t>liquid</m:t>
                </m:r>
              </m:e>
            </m:d>
          </m:sub>
        </m:sSub>
      </m:oMath>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(4)</w:t>
      </w:r>
    </w:p>
    <w:p w14:paraId="55EE3D71" w14:textId="16ED170F" w:rsidR="00113E0F" w:rsidRPr="00113E0F" w:rsidRDefault="00000000" w:rsidP="00113E0F">
      <w:pPr>
        <w:pStyle w:val="CETEquation"/>
        <w:jc w:val="both"/>
        <w:rPr>
          <w:rFonts w:ascii="Cambria" w:eastAsia="MS Mincho" w:hAnsi="Cambria"/>
          <w:sz w:val="22"/>
          <w:lang w:val="en-US"/>
        </w:rPr>
      </w:pPr>
      <m:oMath>
        <m:sSub>
          <m:sSubPr>
            <m:ctrlPr>
              <w:rPr>
                <w:rFonts w:ascii="Cambria Math" w:eastAsia="MS Mincho" w:hAnsi="Cambria Math"/>
                <w:lang w:val="en-US"/>
              </w:rPr>
            </m:ctrlPr>
          </m:sSubPr>
          <m:e>
            <m:r>
              <w:rPr>
                <w:rFonts w:ascii="Cambria Math" w:eastAsia="MS Mincho" w:hAnsi="Cambria Math"/>
                <w:lang w:val="en-US"/>
              </w:rPr>
              <m:t>k</m:t>
            </m:r>
          </m:e>
          <m:sub>
            <m:r>
              <w:rPr>
                <w:rFonts w:ascii="Cambria Math" w:eastAsia="MS Mincho" w:hAnsi="Cambria Math"/>
                <w:lang w:val="en-US"/>
              </w:rPr>
              <m:t>solid</m:t>
            </m:r>
          </m:sub>
        </m:sSub>
        <m:r>
          <m:rPr>
            <m:sty m:val="p"/>
          </m:rPr>
          <w:rPr>
            <w:rFonts w:ascii="Cambria Math" w:eastAsia="MS Mincho" w:hAnsi="Cambria Math"/>
            <w:lang w:val="en-US"/>
          </w:rPr>
          <m:t>∇</m:t>
        </m:r>
        <m:sSub>
          <m:sSubPr>
            <m:ctrlPr>
              <w:rPr>
                <w:rFonts w:ascii="Cambria Math" w:eastAsia="MS Mincho" w:hAnsi="Cambria Math"/>
                <w:lang w:val="en-US"/>
              </w:rPr>
            </m:ctrlPr>
          </m:sSubPr>
          <m:e>
            <m:r>
              <w:rPr>
                <w:rFonts w:ascii="Cambria Math" w:eastAsia="MS Mincho" w:hAnsi="Cambria Math"/>
                <w:lang w:val="en-US"/>
              </w:rPr>
              <m:t>T</m:t>
            </m:r>
          </m:e>
          <m:sub>
            <m:r>
              <w:rPr>
                <w:rFonts w:ascii="Cambria Math" w:eastAsia="MS Mincho" w:hAnsi="Cambria Math"/>
                <w:lang w:val="en-US"/>
              </w:rPr>
              <m:t>solid</m:t>
            </m:r>
          </m:sub>
        </m:sSub>
        <m:r>
          <m:rPr>
            <m:sty m:val="p"/>
          </m:rPr>
          <w:rPr>
            <w:rFonts w:ascii="Cambria Math" w:eastAsia="MS Mincho" w:hAnsi="Cambria Math"/>
            <w:lang w:val="en-US"/>
          </w:rPr>
          <m:t>⋅</m:t>
        </m:r>
        <m:acc>
          <m:accPr>
            <m:chr m:val="⃗"/>
            <m:ctrlPr>
              <w:rPr>
                <w:rFonts w:ascii="Cambria Math" w:eastAsia="MS Mincho" w:hAnsi="Cambria Math"/>
                <w:lang w:val="en-US"/>
              </w:rPr>
            </m:ctrlPr>
          </m:accPr>
          <m:e>
            <m:r>
              <w:rPr>
                <w:rFonts w:ascii="Cambria Math" w:eastAsia="MS Mincho" w:hAnsi="Cambria Math"/>
                <w:lang w:val="en-US"/>
              </w:rPr>
              <m:t>n</m:t>
            </m:r>
          </m:e>
        </m:acc>
        <m:r>
          <m:rPr>
            <m:sty m:val="p"/>
          </m:rPr>
          <w:rPr>
            <w:rFonts w:ascii="Cambria Math" w:eastAsia="MS Mincho" w:hAnsi="Cambria Math"/>
            <w:lang w:val="en-US"/>
          </w:rPr>
          <m:t xml:space="preserve">= </m:t>
        </m:r>
        <m:sSub>
          <m:sSubPr>
            <m:ctrlPr>
              <w:rPr>
                <w:rFonts w:ascii="Cambria Math" w:eastAsia="MS Mincho" w:hAnsi="Cambria Math"/>
                <w:lang w:val="en-US"/>
              </w:rPr>
            </m:ctrlPr>
          </m:sSubPr>
          <m:e>
            <m:r>
              <w:rPr>
                <w:rFonts w:ascii="Cambria Math" w:eastAsia="MS Mincho" w:hAnsi="Cambria Math"/>
                <w:lang w:val="en-US"/>
              </w:rPr>
              <m:t>k</m:t>
            </m:r>
          </m:e>
          <m:sub>
            <m:r>
              <w:rPr>
                <w:rFonts w:ascii="Cambria Math" w:eastAsia="MS Mincho" w:hAnsi="Cambria Math"/>
                <w:lang w:val="en-US"/>
              </w:rPr>
              <m:t>liquid</m:t>
            </m:r>
          </m:sub>
        </m:sSub>
        <m:r>
          <m:rPr>
            <m:sty m:val="p"/>
          </m:rPr>
          <w:rPr>
            <w:rFonts w:ascii="Cambria Math" w:eastAsia="MS Mincho" w:hAnsi="Cambria Math"/>
            <w:lang w:val="en-US"/>
          </w:rPr>
          <m:t>∇</m:t>
        </m:r>
        <m:sSub>
          <m:sSubPr>
            <m:ctrlPr>
              <w:rPr>
                <w:rFonts w:ascii="Cambria Math" w:eastAsia="MS Mincho" w:hAnsi="Cambria Math"/>
                <w:lang w:val="en-US"/>
              </w:rPr>
            </m:ctrlPr>
          </m:sSubPr>
          <m:e>
            <m:r>
              <w:rPr>
                <w:rFonts w:ascii="Cambria Math" w:eastAsia="MS Mincho" w:hAnsi="Cambria Math"/>
                <w:lang w:val="en-US"/>
              </w:rPr>
              <m:t>T</m:t>
            </m:r>
          </m:e>
          <m:sub>
            <m:r>
              <w:rPr>
                <w:rFonts w:ascii="Cambria Math" w:eastAsia="MS Mincho" w:hAnsi="Cambria Math"/>
                <w:lang w:val="en-US"/>
              </w:rPr>
              <m:t>liquid</m:t>
            </m:r>
          </m:sub>
        </m:sSub>
        <m:r>
          <m:rPr>
            <m:sty m:val="p"/>
          </m:rPr>
          <w:rPr>
            <w:rFonts w:ascii="Cambria Math" w:eastAsia="MS Mincho" w:hAnsi="Cambria Math"/>
            <w:lang w:val="en-US"/>
          </w:rPr>
          <m:t>⋅</m:t>
        </m:r>
        <m:acc>
          <m:accPr>
            <m:chr m:val="⃗"/>
            <m:ctrlPr>
              <w:rPr>
                <w:rFonts w:ascii="Cambria Math" w:eastAsia="MS Mincho" w:hAnsi="Cambria Math"/>
                <w:lang w:val="en-US"/>
              </w:rPr>
            </m:ctrlPr>
          </m:accPr>
          <m:e>
            <m:r>
              <w:rPr>
                <w:rFonts w:ascii="Cambria Math" w:eastAsia="MS Mincho" w:hAnsi="Cambria Math"/>
                <w:lang w:val="en-US"/>
              </w:rPr>
              <m:t>n</m:t>
            </m:r>
          </m:e>
        </m:acc>
      </m:oMath>
      <w:r w:rsidR="00113E0F">
        <w:rPr>
          <w:rFonts w:ascii="Cambria" w:eastAsia="MS Mincho" w:hAnsi="Cambria"/>
          <w:lang w:val="en-US"/>
        </w:rPr>
        <w:tab/>
      </w:r>
      <w:r w:rsidR="00113E0F">
        <w:rPr>
          <w:rFonts w:ascii="Cambria" w:eastAsia="MS Mincho" w:hAnsi="Cambria"/>
          <w:lang w:val="en-US"/>
        </w:rPr>
        <w:tab/>
      </w:r>
      <w:r w:rsidR="00113E0F">
        <w:rPr>
          <w:rFonts w:ascii="Cambria" w:eastAsia="MS Mincho" w:hAnsi="Cambria"/>
          <w:lang w:val="en-US"/>
        </w:rPr>
        <w:tab/>
        <w:t>(5)</w:t>
      </w:r>
    </w:p>
    <w:p w14:paraId="2FB7ECCC" w14:textId="5E48F6AD" w:rsidR="00113E0F" w:rsidRPr="00113E0F" w:rsidRDefault="00000000" w:rsidP="00113E0F">
      <w:pPr>
        <w:pStyle w:val="CETEquation"/>
        <w:jc w:val="both"/>
        <w:rPr>
          <w:rFonts w:ascii="Cambria" w:eastAsia="MS Mincho" w:hAnsi="Cambria"/>
          <w:lang w:val="en-US"/>
        </w:rPr>
      </w:pPr>
      <m:oMath>
        <m:sSub>
          <m:sSubPr>
            <m:ctrlPr>
              <w:rPr>
                <w:rFonts w:ascii="Cambria Math" w:eastAsia="MS Mincho" w:hAnsi="Cambria Math"/>
                <w:lang w:val="en-US"/>
              </w:rPr>
            </m:ctrlPr>
          </m:sSubPr>
          <m:e>
            <m:r>
              <w:rPr>
                <w:rFonts w:ascii="Cambria Math" w:eastAsia="MS Mincho" w:hAnsi="Cambria Math"/>
                <w:lang w:val="en-US"/>
              </w:rPr>
              <m:t>φ</m:t>
            </m:r>
          </m:e>
          <m:sub>
            <m:r>
              <w:rPr>
                <w:rFonts w:ascii="Cambria Math" w:eastAsia="MS Mincho" w:hAnsi="Cambria Math"/>
                <w:lang w:val="en-US"/>
              </w:rPr>
              <m:t>solid</m:t>
            </m:r>
          </m:sub>
        </m:sSub>
        <m:r>
          <m:rPr>
            <m:sty m:val="p"/>
          </m:rPr>
          <w:rPr>
            <w:rFonts w:ascii="Cambria Math" w:eastAsia="MS Mincho" w:hAnsi="Cambria Math"/>
            <w:lang w:val="en-US"/>
          </w:rPr>
          <m:t xml:space="preserve">= </m:t>
        </m:r>
        <m:sSub>
          <m:sSubPr>
            <m:ctrlPr>
              <w:rPr>
                <w:rFonts w:ascii="Cambria Math" w:eastAsia="MS Mincho" w:hAnsi="Cambria Math"/>
                <w:lang w:val="en-US"/>
              </w:rPr>
            </m:ctrlPr>
          </m:sSubPr>
          <m:e>
            <m:r>
              <w:rPr>
                <w:rFonts w:ascii="Cambria Math" w:eastAsia="MS Mincho" w:hAnsi="Cambria Math"/>
                <w:lang w:val="en-US"/>
              </w:rPr>
              <m:t>φ</m:t>
            </m:r>
          </m:e>
          <m:sub>
            <m:r>
              <w:rPr>
                <w:rFonts w:ascii="Cambria Math" w:eastAsia="MS Mincho" w:hAnsi="Cambria Math"/>
                <w:lang w:val="en-US"/>
              </w:rPr>
              <m:t>liquid</m:t>
            </m:r>
          </m:sub>
        </m:sSub>
        <m:r>
          <m:rPr>
            <m:sty m:val="p"/>
          </m:rPr>
          <w:rPr>
            <w:rFonts w:ascii="Cambria Math" w:eastAsia="MS Mincho" w:hAnsi="Cambria Math"/>
            <w:lang w:val="en-US"/>
          </w:rPr>
          <m:t xml:space="preserve">,  </m:t>
        </m:r>
        <m:sSub>
          <m:sSubPr>
            <m:ctrlPr>
              <w:rPr>
                <w:rFonts w:ascii="Cambria Math" w:eastAsia="MS Mincho" w:hAnsi="Cambria Math"/>
                <w:lang w:val="en-US"/>
              </w:rPr>
            </m:ctrlPr>
          </m:sSubPr>
          <m:e>
            <m:r>
              <w:rPr>
                <w:rFonts w:ascii="Cambria Math" w:eastAsia="MS Mincho" w:hAnsi="Cambria Math"/>
                <w:lang w:val="en-US"/>
              </w:rPr>
              <m:t>σ</m:t>
            </m:r>
          </m:e>
          <m:sub>
            <m:r>
              <w:rPr>
                <w:rFonts w:ascii="Cambria Math" w:eastAsia="MS Mincho" w:hAnsi="Cambria Math"/>
                <w:lang w:val="en-US"/>
              </w:rPr>
              <m:t>solid</m:t>
            </m:r>
          </m:sub>
        </m:sSub>
        <m:r>
          <m:rPr>
            <m:sty m:val="p"/>
          </m:rPr>
          <w:rPr>
            <w:rFonts w:ascii="Cambria Math" w:eastAsia="MS Mincho" w:hAnsi="Cambria Math"/>
            <w:lang w:val="en-US"/>
          </w:rPr>
          <m:t>∇</m:t>
        </m:r>
        <m:sSub>
          <m:sSubPr>
            <m:ctrlPr>
              <w:rPr>
                <w:rFonts w:ascii="Cambria Math" w:eastAsia="MS Mincho" w:hAnsi="Cambria Math"/>
                <w:lang w:val="en-US"/>
              </w:rPr>
            </m:ctrlPr>
          </m:sSubPr>
          <m:e>
            <m:r>
              <w:rPr>
                <w:rFonts w:ascii="Cambria Math" w:eastAsia="MS Mincho" w:hAnsi="Cambria Math"/>
                <w:lang w:val="en-US"/>
              </w:rPr>
              <m:t>φ</m:t>
            </m:r>
          </m:e>
          <m:sub>
            <m:r>
              <w:rPr>
                <w:rFonts w:ascii="Cambria Math" w:eastAsia="MS Mincho" w:hAnsi="Cambria Math"/>
                <w:lang w:val="en-US"/>
              </w:rPr>
              <m:t>solid</m:t>
            </m:r>
          </m:sub>
        </m:sSub>
        <m:r>
          <m:rPr>
            <m:sty m:val="p"/>
          </m:rPr>
          <w:rPr>
            <w:rFonts w:ascii="Cambria Math" w:eastAsia="MS Mincho" w:hAnsi="Cambria Math"/>
            <w:lang w:val="en-US"/>
          </w:rPr>
          <m:t>⋅</m:t>
        </m:r>
        <m:acc>
          <m:accPr>
            <m:chr m:val="⃗"/>
            <m:ctrlPr>
              <w:rPr>
                <w:rFonts w:ascii="Cambria Math" w:eastAsia="MS Mincho" w:hAnsi="Cambria Math"/>
                <w:lang w:val="en-US"/>
              </w:rPr>
            </m:ctrlPr>
          </m:accPr>
          <m:e>
            <m:r>
              <w:rPr>
                <w:rFonts w:ascii="Cambria Math" w:eastAsia="MS Mincho" w:hAnsi="Cambria Math"/>
                <w:lang w:val="en-US"/>
              </w:rPr>
              <m:t>n</m:t>
            </m:r>
          </m:e>
        </m:acc>
        <m:r>
          <m:rPr>
            <m:sty m:val="p"/>
          </m:rPr>
          <w:rPr>
            <w:rFonts w:ascii="Cambria Math" w:eastAsia="MS Mincho" w:hAnsi="Cambria Math"/>
            <w:lang w:val="en-US"/>
          </w:rPr>
          <m:t xml:space="preserve">  = </m:t>
        </m:r>
        <m:sSub>
          <m:sSubPr>
            <m:ctrlPr>
              <w:rPr>
                <w:rFonts w:ascii="Cambria Math" w:eastAsia="MS Mincho" w:hAnsi="Cambria Math"/>
                <w:lang w:val="en-US"/>
              </w:rPr>
            </m:ctrlPr>
          </m:sSubPr>
          <m:e>
            <m:r>
              <w:rPr>
                <w:rFonts w:ascii="Cambria Math" w:eastAsia="MS Mincho" w:hAnsi="Cambria Math"/>
                <w:lang w:val="en-US"/>
              </w:rPr>
              <m:t>σ</m:t>
            </m:r>
          </m:e>
          <m:sub>
            <m:r>
              <w:rPr>
                <w:rFonts w:ascii="Cambria Math" w:eastAsia="MS Mincho" w:hAnsi="Cambria Math"/>
                <w:lang w:val="en-US"/>
              </w:rPr>
              <m:t>liquid</m:t>
            </m:r>
          </m:sub>
        </m:sSub>
        <m:r>
          <m:rPr>
            <m:sty m:val="p"/>
          </m:rPr>
          <w:rPr>
            <w:rFonts w:ascii="Cambria Math" w:eastAsia="MS Mincho" w:hAnsi="Cambria Math"/>
            <w:lang w:val="en-US"/>
          </w:rPr>
          <m:t>∇</m:t>
        </m:r>
        <m:sSub>
          <m:sSubPr>
            <m:ctrlPr>
              <w:rPr>
                <w:rFonts w:ascii="Cambria Math" w:eastAsia="MS Mincho" w:hAnsi="Cambria Math"/>
                <w:lang w:val="en-US"/>
              </w:rPr>
            </m:ctrlPr>
          </m:sSubPr>
          <m:e>
            <m:r>
              <w:rPr>
                <w:rFonts w:ascii="Cambria Math" w:eastAsia="MS Mincho" w:hAnsi="Cambria Math"/>
                <w:lang w:val="en-US"/>
              </w:rPr>
              <m:t>φ</m:t>
            </m:r>
          </m:e>
          <m:sub>
            <m:r>
              <w:rPr>
                <w:rFonts w:ascii="Cambria Math" w:eastAsia="MS Mincho" w:hAnsi="Cambria Math"/>
                <w:lang w:val="en-US"/>
              </w:rPr>
              <m:t>liquid</m:t>
            </m:r>
          </m:sub>
        </m:sSub>
        <m:r>
          <m:rPr>
            <m:sty m:val="p"/>
          </m:rPr>
          <w:rPr>
            <w:rFonts w:ascii="Cambria Math" w:eastAsia="MS Mincho" w:hAnsi="Cambria Math"/>
            <w:lang w:val="en-US"/>
          </w:rPr>
          <m:t>⋅</m:t>
        </m:r>
        <m:acc>
          <m:accPr>
            <m:chr m:val="⃗"/>
            <m:ctrlPr>
              <w:rPr>
                <w:rFonts w:ascii="Cambria Math" w:eastAsia="MS Mincho" w:hAnsi="Cambria Math"/>
                <w:lang w:val="en-US"/>
              </w:rPr>
            </m:ctrlPr>
          </m:accPr>
          <m:e>
            <m:r>
              <w:rPr>
                <w:rFonts w:ascii="Cambria Math" w:eastAsia="MS Mincho" w:hAnsi="Cambria Math"/>
                <w:lang w:val="en-US"/>
              </w:rPr>
              <m:t>n</m:t>
            </m:r>
          </m:e>
        </m:acc>
      </m:oMath>
      <w:r w:rsidR="00113E0F">
        <w:rPr>
          <w:rFonts w:ascii="Cambria" w:eastAsia="MS Mincho" w:hAnsi="Cambria"/>
          <w:lang w:val="en-US"/>
        </w:rPr>
        <w:tab/>
      </w:r>
      <w:r w:rsidR="00113E0F">
        <w:rPr>
          <w:rFonts w:ascii="Cambria" w:eastAsia="MS Mincho" w:hAnsi="Cambria"/>
          <w:lang w:val="en-US"/>
        </w:rPr>
        <w:tab/>
      </w:r>
      <w:r w:rsidR="00113E0F">
        <w:rPr>
          <w:rFonts w:ascii="Cambria" w:eastAsia="MS Mincho" w:hAnsi="Cambria"/>
          <w:lang w:val="en-US"/>
        </w:rPr>
        <w:tab/>
        <w:t>(6)</w:t>
      </w:r>
    </w:p>
    <w:p w14:paraId="5B4092D9" w14:textId="3E04124B" w:rsidR="00F3046C" w:rsidRPr="00D83423" w:rsidRDefault="00F3046C" w:rsidP="00113E0F">
      <w:pPr>
        <w:pStyle w:val="CETheadingx"/>
      </w:pPr>
    </w:p>
    <w:p w14:paraId="79AFF683" w14:textId="4168AFE4" w:rsidR="00F3046C" w:rsidRPr="00F3046C" w:rsidRDefault="00F3046C" w:rsidP="00113E0F">
      <w:pPr>
        <w:pStyle w:val="CETHeading1"/>
        <w:numPr>
          <w:ilvl w:val="2"/>
          <w:numId w:val="1"/>
        </w:numPr>
      </w:pPr>
      <w:r w:rsidRPr="00F3046C">
        <w:t>Boundary Conditions for the Electric Field</w:t>
      </w:r>
    </w:p>
    <w:p w14:paraId="6E90E8B6" w14:textId="77777777" w:rsidR="00F3046C" w:rsidRPr="00D83423" w:rsidRDefault="00F3046C" w:rsidP="00113E0F">
      <w:pPr>
        <w:pStyle w:val="CETheadingx"/>
      </w:pPr>
      <w:r w:rsidRPr="00D83423">
        <w:t>In ohmic heating applications, the boundary conditions (BCs) for the electric field are critical for accurately modeling the electrical potential distribution across the food domain. These conditions are typically applied at the electrodes and may vary depending on whether a steady-state or time-dependent analysis is conducted.</w:t>
      </w:r>
    </w:p>
    <w:p w14:paraId="5546BBE2" w14:textId="4C925350" w:rsidR="00F3046C" w:rsidRPr="00D83423" w:rsidRDefault="00F3046C" w:rsidP="00113E0F">
      <w:pPr>
        <w:pStyle w:val="CETheadingx"/>
      </w:pPr>
      <w:r w:rsidRPr="00D83423">
        <w:t>For steady-state simulations, a common approach is to apply constant voltage boundary conditions, often derived from the root mean square (RMS) value of an alternating current (AC) source. In this case, the potential is set as φ = ±V_RMS at opposing electrodes, and Neumann (zero-flux) boundary conditions are used at electrically insulated surfaces, i.e., ∂φ/∂n = 0.</w:t>
      </w:r>
      <w:r w:rsidR="00113E0F">
        <w:t xml:space="preserve">  </w:t>
      </w:r>
      <w:r w:rsidRPr="00D83423">
        <w:t xml:space="preserve">In time-dependent simulations, a sinusoidal voltage can be applied to represent the actual time-varying nature of the AC source. For instance, the potential can be modeled as </w:t>
      </w:r>
    </w:p>
    <w:p w14:paraId="061197B9" w14:textId="6229E045" w:rsidR="00113E0F" w:rsidRPr="00113E0F" w:rsidRDefault="00113E0F" w:rsidP="00113E0F">
      <w:pPr>
        <w:pStyle w:val="CETEquation"/>
        <w:rPr>
          <w:rFonts w:eastAsia="MS Mincho"/>
          <w:lang w:val="en-US"/>
        </w:rPr>
      </w:pPr>
      <w:r w:rsidRPr="00113E0F">
        <w:rPr>
          <w:rFonts w:eastAsia="MS Mincho"/>
          <w:lang w:val="en-US"/>
        </w:rPr>
        <w:t>φ(t) = V</w:t>
      </w:r>
      <w:r w:rsidRPr="00113E0F">
        <w:rPr>
          <w:rFonts w:eastAsia="MS Mincho"/>
          <w:vertAlign w:val="subscript"/>
          <w:lang w:val="en-US"/>
        </w:rPr>
        <w:t>0</w:t>
      </w:r>
      <w:r w:rsidRPr="00113E0F">
        <w:rPr>
          <w:rFonts w:eastAsia="MS Mincho"/>
          <w:lang w:val="en-US"/>
        </w:rPr>
        <w:t xml:space="preserve"> sin(2π</w:t>
      </w:r>
      <w:r w:rsidRPr="00113E0F">
        <w:rPr>
          <w:rFonts w:eastAsia="MS Mincho"/>
          <w:i/>
          <w:iCs/>
          <w:lang w:val="en-US"/>
        </w:rPr>
        <w:t>f</w:t>
      </w:r>
      <w:r w:rsidRPr="00113E0F">
        <w:rPr>
          <w:rFonts w:eastAsia="MS Mincho"/>
          <w:lang w:val="en-US"/>
        </w:rPr>
        <w:t xml:space="preserve">t), </w:t>
      </w:r>
      <w:r>
        <w:rPr>
          <w:rFonts w:eastAsia="MS Mincho"/>
          <w:lang w:val="en-US"/>
        </w:rPr>
        <w:tab/>
      </w:r>
      <w:r>
        <w:rPr>
          <w:rFonts w:eastAsia="MS Mincho"/>
          <w:lang w:val="en-US"/>
        </w:rPr>
        <w:tab/>
      </w:r>
      <w:r>
        <w:rPr>
          <w:rFonts w:eastAsia="MS Mincho"/>
          <w:lang w:val="en-US"/>
        </w:rPr>
        <w:tab/>
        <w:t>(7)</w:t>
      </w:r>
    </w:p>
    <w:p w14:paraId="0B508054" w14:textId="35A1FE69" w:rsidR="00F3046C" w:rsidRPr="00D83423" w:rsidRDefault="00F3046C" w:rsidP="00113E0F">
      <w:pPr>
        <w:pStyle w:val="CETheadingx"/>
      </w:pPr>
      <w:r w:rsidRPr="00D83423">
        <w:t>where V</w:t>
      </w:r>
      <w:r w:rsidRPr="00113E0F">
        <w:rPr>
          <w:vertAlign w:val="subscript"/>
        </w:rPr>
        <w:t>0</w:t>
      </w:r>
      <w:r w:rsidRPr="00D83423">
        <w:t xml:space="preserve"> is the peak voltage and</w:t>
      </w:r>
      <w:r w:rsidRPr="00113E0F">
        <w:rPr>
          <w:i/>
          <w:iCs/>
        </w:rPr>
        <w:t xml:space="preserve"> f</w:t>
      </w:r>
      <w:r w:rsidRPr="00D83423">
        <w:t xml:space="preserve"> is the frequency. This allows for more accurate representation of transient electric field behavior and heating dynamics, especially in systems where electrical properties are strongly </w:t>
      </w:r>
      <w:proofErr w:type="gramStart"/>
      <w:r w:rsidRPr="00D83423">
        <w:t>temperature-dependent</w:t>
      </w:r>
      <w:proofErr w:type="gramEnd"/>
      <w:r w:rsidRPr="00D83423">
        <w:t>.</w:t>
      </w:r>
      <w:r w:rsidR="00113E0F">
        <w:t xml:space="preserve"> </w:t>
      </w:r>
      <w:r w:rsidRPr="00D83423">
        <w:t xml:space="preserve">Selection between RMS-based steady-state and time-varying BCs depends in theory on the required level of model fidelity and computational resources. </w:t>
      </w:r>
    </w:p>
    <w:p w14:paraId="2A57DDC6" w14:textId="26B5F011" w:rsidR="00F3046C" w:rsidRPr="00F3046C" w:rsidRDefault="00F3046C" w:rsidP="00113E0F">
      <w:pPr>
        <w:pStyle w:val="CETheadingx"/>
      </w:pPr>
      <w:r w:rsidRPr="00D83423">
        <w:t xml:space="preserve">For many food processing applications, steady-state RMS values provide a sufficiently accurate approximation, while transient models may be necessary for detailed analyses or validation purposes. But </w:t>
      </w:r>
      <w:r w:rsidR="004446F2" w:rsidRPr="00D83423">
        <w:t>of course,</w:t>
      </w:r>
      <w:r w:rsidRPr="00D83423">
        <w:t xml:space="preserve"> the use </w:t>
      </w:r>
      <w:proofErr w:type="gramStart"/>
      <w:r w:rsidRPr="00D83423">
        <w:t>of  time</w:t>
      </w:r>
      <w:proofErr w:type="gramEnd"/>
      <w:r w:rsidRPr="00D83423">
        <w:t xml:space="preserve">-varying BCs is much more demanding in terms of computational power, especially when high frequency power generators are used. The question is whether the use of RMS BCs changes the picture in terms of food heating, being the last one a phenomenon working at a slow characteristic times respect to the electric field. </w:t>
      </w:r>
      <w:proofErr w:type="gramStart"/>
      <w:r w:rsidRPr="00D83423">
        <w:t>In order to</w:t>
      </w:r>
      <w:proofErr w:type="gramEnd"/>
      <w:r w:rsidRPr="00D83423">
        <w:t xml:space="preserve"> test the effects of different BC in Ohmic heating modelin</w:t>
      </w:r>
      <w:r w:rsidR="004446F2">
        <w:t>g</w:t>
      </w:r>
      <w:r w:rsidRPr="00D83423">
        <w:t xml:space="preserve">, an experimental setup was prepared for model validation, consisting in Ohmic heating of NaCl- water solution </w:t>
      </w:r>
      <w:proofErr w:type="gramStart"/>
      <w:r w:rsidRPr="00D83423">
        <w:t>in  a</w:t>
      </w:r>
      <w:proofErr w:type="gramEnd"/>
      <w:r w:rsidRPr="00D83423">
        <w:t xml:space="preserve"> cylindrical OH chamber (Figure 1). </w:t>
      </w:r>
      <w:proofErr w:type="gramStart"/>
      <w:r w:rsidRPr="00D83423">
        <w:t>Simulation</w:t>
      </w:r>
      <w:proofErr w:type="gramEnd"/>
      <w:r w:rsidRPr="00D83423">
        <w:t xml:space="preserve"> </w:t>
      </w:r>
      <w:proofErr w:type="gramStart"/>
      <w:r w:rsidRPr="00D83423">
        <w:t>were</w:t>
      </w:r>
      <w:proofErr w:type="gramEnd"/>
      <w:r w:rsidRPr="00D83423">
        <w:t xml:space="preserve"> performed using Ansys Fluent 2022</w:t>
      </w:r>
      <w:r w:rsidRPr="00F3046C">
        <w:t>.</w:t>
      </w:r>
    </w:p>
    <w:p w14:paraId="07E3C4CF" w14:textId="3EBE8288" w:rsidR="00F3046C" w:rsidRPr="00F3046C" w:rsidRDefault="00F3046C" w:rsidP="00113E0F">
      <w:pPr>
        <w:pStyle w:val="CETheadingx"/>
      </w:pPr>
      <w:r>
        <w:rPr>
          <w:noProof/>
        </w:rPr>
        <w:drawing>
          <wp:inline distT="0" distB="0" distL="0" distR="0" wp14:anchorId="2DA28176" wp14:editId="78950B11">
            <wp:extent cx="4860765" cy="2313489"/>
            <wp:effectExtent l="0" t="0" r="0" b="0"/>
            <wp:docPr id="116910146" name="Picture 1" descr="A computer graphics of a cyli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0146" name="Picture 1" descr="A computer graphics of a cylind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0676" cy="2322966"/>
                    </a:xfrm>
                    <a:prstGeom prst="rect">
                      <a:avLst/>
                    </a:prstGeom>
                    <a:noFill/>
                  </pic:spPr>
                </pic:pic>
              </a:graphicData>
            </a:graphic>
          </wp:inline>
        </w:drawing>
      </w:r>
    </w:p>
    <w:p w14:paraId="7C0E0B78" w14:textId="77777777" w:rsidR="00113E0F" w:rsidRPr="00113E0F" w:rsidRDefault="00F3046C" w:rsidP="00113E0F">
      <w:pPr>
        <w:pStyle w:val="CETHeading1"/>
      </w:pPr>
      <w:r w:rsidRPr="00F3046C">
        <w:rPr>
          <w:b w:val="0"/>
          <w:bCs/>
        </w:rPr>
        <w:t xml:space="preserve"> </w:t>
      </w:r>
      <w:r w:rsidRPr="00841F9E">
        <w:rPr>
          <w:sz w:val="16"/>
          <w:szCs w:val="18"/>
        </w:rPr>
        <w:t>Figure</w:t>
      </w:r>
      <w:r w:rsidR="009F1E4F">
        <w:rPr>
          <w:sz w:val="16"/>
          <w:szCs w:val="18"/>
        </w:rPr>
        <w:t xml:space="preserve"> </w:t>
      </w:r>
      <w:r w:rsidRPr="00841F9E">
        <w:rPr>
          <w:sz w:val="16"/>
          <w:szCs w:val="18"/>
        </w:rPr>
        <w:fldChar w:fldCharType="begin"/>
      </w:r>
      <w:r w:rsidRPr="00841F9E">
        <w:rPr>
          <w:sz w:val="16"/>
          <w:szCs w:val="18"/>
        </w:rPr>
        <w:instrText xml:space="preserve"> SEQ Figura \* ARABIC </w:instrText>
      </w:r>
      <w:r w:rsidRPr="00841F9E">
        <w:rPr>
          <w:sz w:val="16"/>
          <w:szCs w:val="18"/>
        </w:rPr>
        <w:fldChar w:fldCharType="separate"/>
      </w:r>
      <w:r>
        <w:rPr>
          <w:noProof/>
          <w:sz w:val="16"/>
          <w:szCs w:val="18"/>
        </w:rPr>
        <w:t>1</w:t>
      </w:r>
      <w:r w:rsidRPr="00841F9E">
        <w:rPr>
          <w:sz w:val="16"/>
          <w:szCs w:val="18"/>
        </w:rPr>
        <w:fldChar w:fldCharType="end"/>
      </w:r>
      <w:r w:rsidRPr="00841F9E">
        <w:rPr>
          <w:sz w:val="16"/>
          <w:szCs w:val="18"/>
        </w:rPr>
        <w:t xml:space="preserve"> </w:t>
      </w:r>
      <w:r w:rsidR="009F1E4F">
        <w:rPr>
          <w:sz w:val="16"/>
          <w:szCs w:val="18"/>
        </w:rPr>
        <w:t>–</w:t>
      </w:r>
      <w:r w:rsidRPr="00841F9E">
        <w:rPr>
          <w:sz w:val="16"/>
          <w:szCs w:val="18"/>
        </w:rPr>
        <w:t xml:space="preserve"> </w:t>
      </w:r>
      <w:r w:rsidR="009F1E4F">
        <w:rPr>
          <w:sz w:val="16"/>
          <w:szCs w:val="18"/>
        </w:rPr>
        <w:t>Experimental setup for model validation of Ohmic heating</w:t>
      </w:r>
      <w:r w:rsidRPr="00841F9E">
        <w:rPr>
          <w:sz w:val="16"/>
          <w:szCs w:val="18"/>
        </w:rPr>
        <w:t>.</w:t>
      </w:r>
    </w:p>
    <w:p w14:paraId="18041616" w14:textId="1857D188" w:rsidR="00113E0F" w:rsidRPr="00F3046C" w:rsidRDefault="00113E0F" w:rsidP="00113E0F">
      <w:pPr>
        <w:pStyle w:val="CETHeading1"/>
      </w:pPr>
      <w:r w:rsidRPr="00113E0F">
        <w:t xml:space="preserve"> </w:t>
      </w:r>
      <w:r>
        <w:t>Results</w:t>
      </w:r>
    </w:p>
    <w:p w14:paraId="6FD0070E" w14:textId="7E90F79B" w:rsidR="00113E0F" w:rsidRPr="00F3046C" w:rsidRDefault="00113E0F" w:rsidP="00113E0F">
      <w:pPr>
        <w:pStyle w:val="CETheadingx"/>
      </w:pPr>
      <w:r w:rsidRPr="00F3046C">
        <w:t xml:space="preserve">Electrical conductivity σ is a critical parameter in ohmic heating simulations and is strongly influenced by temperature, composition, and phase of the food material. In this work it </w:t>
      </w:r>
      <w:r w:rsidR="004446F2" w:rsidRPr="00F3046C">
        <w:t>was modeled</w:t>
      </w:r>
      <w:r w:rsidRPr="00F3046C">
        <w:t xml:space="preserve"> as a linear   function of temperature:</w:t>
      </w:r>
    </w:p>
    <w:p w14:paraId="111323D2" w14:textId="77777777" w:rsidR="00EA2E4B" w:rsidRDefault="00113E0F" w:rsidP="00EA2E4B">
      <w:pPr>
        <w:pStyle w:val="CETEquation"/>
      </w:pPr>
      <w:r w:rsidRPr="00F3046C">
        <w:rPr>
          <w:rFonts w:hint="eastAsia"/>
        </w:rPr>
        <w:t>σ</w:t>
      </w:r>
      <w:r w:rsidRPr="00F3046C">
        <w:t>(T) = σ</w:t>
      </w:r>
      <w:r w:rsidRPr="00F3046C">
        <w:rPr>
          <w:rFonts w:ascii="Cambria Math" w:hAnsi="Cambria Math" w:cs="Cambria Math"/>
        </w:rPr>
        <w:t>₀</w:t>
      </w:r>
      <w:r w:rsidRPr="00F3046C">
        <w:t xml:space="preserve"> (1 + </w:t>
      </w:r>
      <w:r w:rsidRPr="00F3046C">
        <w:rPr>
          <w:rFonts w:cs="Arial"/>
        </w:rPr>
        <w:t>α</w:t>
      </w:r>
      <w:r w:rsidRPr="00F3046C">
        <w:t xml:space="preserve"> (T - T</w:t>
      </w:r>
      <w:r w:rsidRPr="00F3046C">
        <w:rPr>
          <w:rFonts w:ascii="Cambria Math" w:hAnsi="Cambria Math" w:cs="Cambria Math"/>
        </w:rPr>
        <w:t>₀</w:t>
      </w:r>
      <w:r w:rsidRPr="00F3046C">
        <w:t>))</w:t>
      </w:r>
      <w:r>
        <w:tab/>
      </w:r>
      <w:r>
        <w:tab/>
      </w:r>
      <w:r>
        <w:tab/>
        <w:t>(8)</w:t>
      </w:r>
    </w:p>
    <w:p w14:paraId="4891597B" w14:textId="77777777" w:rsidR="00EA2E4B" w:rsidRDefault="00113E0F" w:rsidP="00EA2E4B">
      <w:pPr>
        <w:pStyle w:val="CETEquation"/>
      </w:pPr>
      <w:r w:rsidRPr="00F3046C">
        <w:t>where σ</w:t>
      </w:r>
      <w:r w:rsidRPr="00F3046C">
        <w:rPr>
          <w:rFonts w:ascii="Cambria Math" w:hAnsi="Cambria Math" w:cs="Cambria Math"/>
        </w:rPr>
        <w:t>₀</w:t>
      </w:r>
      <w:r w:rsidRPr="00F3046C">
        <w:t xml:space="preserve"> is the conductivity at a reference temperature T</w:t>
      </w:r>
      <w:r w:rsidRPr="00F3046C">
        <w:rPr>
          <w:rFonts w:ascii="Cambria Math" w:hAnsi="Cambria Math" w:cs="Cambria Math"/>
        </w:rPr>
        <w:t>₀</w:t>
      </w:r>
      <w:r w:rsidRPr="00F3046C">
        <w:t xml:space="preserve">, and </w:t>
      </w:r>
      <w:r w:rsidRPr="00F3046C">
        <w:rPr>
          <w:rFonts w:cs="Arial"/>
        </w:rPr>
        <w:t>α</w:t>
      </w:r>
      <w:r w:rsidRPr="00F3046C">
        <w:t xml:space="preserve"> is a material-specific constant.</w:t>
      </w:r>
    </w:p>
    <w:p w14:paraId="4A2A2D8A" w14:textId="77777777" w:rsidR="00EA2E4B" w:rsidRDefault="00F3046C" w:rsidP="00EA2E4B">
      <w:pPr>
        <w:pStyle w:val="CETEquation"/>
      </w:pPr>
      <w:r w:rsidRPr="00F3046C">
        <w:t>Thermal conductivity k, specific heat Cp, and density ρ may also vary with temperature, especially in systems involving phase transitions or high moisture gradients. Accurate modeling requires experimental data or reliable empirical correlations for these properties.</w:t>
      </w:r>
      <w:r w:rsidR="00EA2E4B">
        <w:t xml:space="preserve"> </w:t>
      </w:r>
      <w:r w:rsidRPr="00F3046C">
        <w:t xml:space="preserve"> </w:t>
      </w:r>
    </w:p>
    <w:p w14:paraId="1743B231" w14:textId="0B229E93" w:rsidR="00F3046C" w:rsidRPr="00F3046C" w:rsidRDefault="00F3046C" w:rsidP="00EA2E4B">
      <w:pPr>
        <w:pStyle w:val="CETEquation"/>
      </w:pPr>
      <w:r w:rsidRPr="00F3046C">
        <w:t>Three different types of BC were tested:</w:t>
      </w:r>
    </w:p>
    <w:p w14:paraId="1B17C889" w14:textId="3D3C9447" w:rsidR="00F3046C" w:rsidRPr="00F3046C" w:rsidRDefault="00F3046C" w:rsidP="00113E0F">
      <w:pPr>
        <w:pStyle w:val="CETheadingx"/>
        <w:numPr>
          <w:ilvl w:val="0"/>
          <w:numId w:val="35"/>
        </w:numPr>
      </w:pPr>
      <w:r w:rsidRPr="00F3046C">
        <w:lastRenderedPageBreak/>
        <w:t xml:space="preserve">Unsteady 60V peak </w:t>
      </w:r>
      <w:proofErr w:type="spellStart"/>
      <w:r w:rsidRPr="00F3046C">
        <w:t>DoP</w:t>
      </w:r>
      <w:proofErr w:type="spellEnd"/>
      <w:r w:rsidRPr="00F3046C">
        <w:t xml:space="preserve"> (Difference of Potential) with 10 (DT1),100 (DT2) and 1000 (DT3) time steps per period</w:t>
      </w:r>
    </w:p>
    <w:p w14:paraId="7A7500BA" w14:textId="5811459A" w:rsidR="00F3046C" w:rsidRPr="00F3046C" w:rsidRDefault="00F3046C" w:rsidP="00113E0F">
      <w:pPr>
        <w:pStyle w:val="CETheadingx"/>
        <w:numPr>
          <w:ilvl w:val="0"/>
          <w:numId w:val="35"/>
        </w:numPr>
      </w:pPr>
      <w:r w:rsidRPr="00F3046C">
        <w:t>Steady 60</w:t>
      </w:r>
      <w:proofErr w:type="gramStart"/>
      <w:r w:rsidRPr="00F3046C">
        <w:t xml:space="preserve">V  </w:t>
      </w:r>
      <w:proofErr w:type="spellStart"/>
      <w:r w:rsidRPr="00F3046C">
        <w:t>DoP</w:t>
      </w:r>
      <w:proofErr w:type="spellEnd"/>
      <w:proofErr w:type="gramEnd"/>
    </w:p>
    <w:p w14:paraId="75A9D6AA" w14:textId="29A80EAC" w:rsidR="00F3046C" w:rsidRPr="00F3046C" w:rsidRDefault="00F3046C" w:rsidP="00113E0F">
      <w:pPr>
        <w:pStyle w:val="CETheadingx"/>
        <w:numPr>
          <w:ilvl w:val="0"/>
          <w:numId w:val="35"/>
        </w:numPr>
      </w:pPr>
      <w:r w:rsidRPr="00F3046C">
        <w:t>Assigned current flux (obtained experimentally)</w:t>
      </w:r>
    </w:p>
    <w:p w14:paraId="2A2D4AD3" w14:textId="77777777" w:rsidR="00F3046C" w:rsidRDefault="00F3046C" w:rsidP="00F3046C">
      <w:pPr>
        <w:pStyle w:val="CETBodytext"/>
      </w:pPr>
    </w:p>
    <w:p w14:paraId="5576BA65" w14:textId="634FD4BF" w:rsidR="00F3046C" w:rsidRDefault="00F3046C" w:rsidP="00F3046C">
      <w:pPr>
        <w:pStyle w:val="CETBodytext"/>
        <w:jc w:val="center"/>
      </w:pPr>
      <w:r>
        <w:rPr>
          <w:noProof/>
        </w:rPr>
        <w:drawing>
          <wp:inline distT="0" distB="0" distL="0" distR="0" wp14:anchorId="08A18ACB" wp14:editId="35267447">
            <wp:extent cx="3773175" cy="2529904"/>
            <wp:effectExtent l="0" t="0" r="17780" b="3810"/>
            <wp:docPr id="1208200087" name="Chart 1">
              <a:extLst xmlns:a="http://schemas.openxmlformats.org/drawingml/2006/main">
                <a:ext uri="{FF2B5EF4-FFF2-40B4-BE49-F238E27FC236}">
                  <a16:creationId xmlns:a16="http://schemas.microsoft.com/office/drawing/2014/main" id="{F979C4D1-8302-49AD-B38D-C5A246C18C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C48B4C" w14:textId="1443CC7E" w:rsidR="00F3046C" w:rsidRPr="00841F9E" w:rsidRDefault="00F3046C" w:rsidP="00F3046C">
      <w:pPr>
        <w:pStyle w:val="CETCaption"/>
        <w:rPr>
          <w:sz w:val="16"/>
          <w:szCs w:val="18"/>
        </w:rPr>
      </w:pPr>
      <w:r w:rsidRPr="00841F9E">
        <w:rPr>
          <w:sz w:val="16"/>
          <w:szCs w:val="18"/>
        </w:rPr>
        <w:t xml:space="preserve">Figure </w:t>
      </w:r>
      <w:proofErr w:type="gramStart"/>
      <w:r>
        <w:rPr>
          <w:sz w:val="16"/>
          <w:szCs w:val="18"/>
        </w:rPr>
        <w:t>2</w:t>
      </w:r>
      <w:r w:rsidR="009F1E4F">
        <w:rPr>
          <w:sz w:val="16"/>
          <w:szCs w:val="18"/>
        </w:rPr>
        <w:t xml:space="preserve"> </w:t>
      </w:r>
      <w:r w:rsidRPr="00841F9E">
        <w:rPr>
          <w:sz w:val="16"/>
          <w:szCs w:val="18"/>
        </w:rPr>
        <w:t xml:space="preserve"> -</w:t>
      </w:r>
      <w:proofErr w:type="gramEnd"/>
      <w:r w:rsidRPr="00841F9E">
        <w:rPr>
          <w:sz w:val="16"/>
          <w:szCs w:val="18"/>
        </w:rPr>
        <w:t xml:space="preserve"> </w:t>
      </w:r>
      <w:r w:rsidR="004446F2">
        <w:rPr>
          <w:sz w:val="16"/>
          <w:szCs w:val="18"/>
        </w:rPr>
        <w:t xml:space="preserve">Validation of numerical model </w:t>
      </w:r>
      <w:proofErr w:type="spellStart"/>
      <w:r w:rsidR="004446F2">
        <w:rPr>
          <w:sz w:val="16"/>
          <w:szCs w:val="18"/>
        </w:rPr>
        <w:t>awith</w:t>
      </w:r>
      <w:proofErr w:type="spellEnd"/>
      <w:r w:rsidR="004446F2">
        <w:rPr>
          <w:sz w:val="16"/>
          <w:szCs w:val="18"/>
        </w:rPr>
        <w:t xml:space="preserve"> experimental data in a Ohmic chamber with 1% NaCl solution</w:t>
      </w:r>
      <w:r w:rsidRPr="00841F9E">
        <w:rPr>
          <w:sz w:val="16"/>
          <w:szCs w:val="18"/>
        </w:rPr>
        <w:t>.</w:t>
      </w:r>
    </w:p>
    <w:p w14:paraId="3CB7F3C0" w14:textId="69F6808E" w:rsidR="00F3046C" w:rsidRPr="00F3046C" w:rsidRDefault="00F3046C" w:rsidP="00113E0F">
      <w:pPr>
        <w:pStyle w:val="CETheadingx"/>
      </w:pPr>
      <w:r w:rsidRPr="00F3046C">
        <w:t xml:space="preserve">Results are shown in </w:t>
      </w:r>
      <w:r w:rsidR="00D83423">
        <w:t>F</w:t>
      </w:r>
      <w:r w:rsidRPr="00F3046C">
        <w:t xml:space="preserve">igure 2, and they reflect a good agreement with experimental data only for the case of unsteady assigned BC, with negligible differences between </w:t>
      </w:r>
      <w:proofErr w:type="gramStart"/>
      <w:r w:rsidRPr="00F3046C">
        <w:t>10 and 1000 time</w:t>
      </w:r>
      <w:proofErr w:type="gramEnd"/>
      <w:r w:rsidRPr="00F3046C">
        <w:t xml:space="preserve"> steps per period.</w:t>
      </w:r>
    </w:p>
    <w:p w14:paraId="257CD511" w14:textId="77777777" w:rsidR="00D83423" w:rsidRPr="00D83423" w:rsidRDefault="00D83423" w:rsidP="00113E0F">
      <w:pPr>
        <w:pStyle w:val="CETHeading1"/>
        <w:numPr>
          <w:ilvl w:val="2"/>
          <w:numId w:val="1"/>
        </w:numPr>
      </w:pPr>
      <w:r w:rsidRPr="00D83423">
        <w:t xml:space="preserve">Effect of </w:t>
      </w:r>
      <w:proofErr w:type="gramStart"/>
      <w:r w:rsidRPr="00D83423">
        <w:t>convection</w:t>
      </w:r>
      <w:proofErr w:type="gramEnd"/>
      <w:r w:rsidRPr="00D83423">
        <w:t xml:space="preserve"> in heterogeneous system</w:t>
      </w:r>
    </w:p>
    <w:p w14:paraId="6CDC759B" w14:textId="3CA7681C" w:rsidR="00F3046C" w:rsidRDefault="00D83423" w:rsidP="00113E0F">
      <w:pPr>
        <w:pStyle w:val="CETheadingx"/>
      </w:pPr>
      <w:r w:rsidRPr="00D83423">
        <w:t>Another important effect often neglected is related to internal convection inside the chamber. To</w:t>
      </w:r>
      <w:r>
        <w:t xml:space="preserve"> highlight the importance of such effects, a numerical simulation was performed </w:t>
      </w:r>
      <w:r w:rsidR="007018F0">
        <w:t xml:space="preserve">for the heterogeneous system composed </w:t>
      </w:r>
      <w:proofErr w:type="gramStart"/>
      <w:r w:rsidR="007018F0">
        <w:t>by</w:t>
      </w:r>
      <w:proofErr w:type="gramEnd"/>
      <w:r w:rsidR="007018F0">
        <w:t xml:space="preserve"> small carrots parts immersed in a 1% salty solution (Figure 3</w:t>
      </w:r>
      <w:r w:rsidR="009F1E4F">
        <w:t>a</w:t>
      </w:r>
      <w:r w:rsidR="007018F0">
        <w:t>)</w:t>
      </w:r>
    </w:p>
    <w:p w14:paraId="47BE9549" w14:textId="77777777" w:rsidR="009F1E4F" w:rsidRDefault="009F1E4F" w:rsidP="009F1E4F">
      <w:pPr>
        <w:pStyle w:val="CET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4822"/>
      </w:tblGrid>
      <w:tr w:rsidR="009F1E4F" w14:paraId="375CE4EF" w14:textId="77777777" w:rsidTr="009F1E4F">
        <w:trPr>
          <w:jc w:val="center"/>
        </w:trPr>
        <w:tc>
          <w:tcPr>
            <w:tcW w:w="3965" w:type="dxa"/>
          </w:tcPr>
          <w:p w14:paraId="225E3CCB" w14:textId="0B791AC5" w:rsidR="009F1E4F" w:rsidRDefault="009F1E4F" w:rsidP="009F1E4F">
            <w:pPr>
              <w:pStyle w:val="CETBodytext"/>
            </w:pPr>
            <w:r>
              <w:t>a</w:t>
            </w:r>
            <w:r w:rsidRPr="007018F0">
              <w:rPr>
                <w:noProof/>
                <w:lang w:val="en-GB"/>
              </w:rPr>
              <w:drawing>
                <wp:inline distT="0" distB="0" distL="0" distR="0" wp14:anchorId="49AA967D" wp14:editId="3C692911">
                  <wp:extent cx="2466975" cy="2244947"/>
                  <wp:effectExtent l="0" t="0" r="0" b="3175"/>
                  <wp:docPr id="8" name="Picture 7" descr="A wireframe of a wire spool&#10;&#10;AI-generated content may be incorrect.">
                    <a:extLst xmlns:a="http://schemas.openxmlformats.org/drawingml/2006/main">
                      <a:ext uri="{FF2B5EF4-FFF2-40B4-BE49-F238E27FC236}">
                        <a16:creationId xmlns:a16="http://schemas.microsoft.com/office/drawing/2014/main" id="{B58A3687-4423-AF21-BF96-F0DBC71362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wireframe of a wire spool&#10;&#10;AI-generated content may be incorrect.">
                            <a:extLst>
                              <a:ext uri="{FF2B5EF4-FFF2-40B4-BE49-F238E27FC236}">
                                <a16:creationId xmlns:a16="http://schemas.microsoft.com/office/drawing/2014/main" id="{B58A3687-4423-AF21-BF96-F0DBC7136272}"/>
                              </a:ext>
                            </a:extLst>
                          </pic:cNvPr>
                          <pic:cNvPicPr>
                            <a:picLocks noChangeAspect="1"/>
                          </pic:cNvPicPr>
                        </pic:nvPicPr>
                        <pic:blipFill>
                          <a:blip r:embed="rId13"/>
                          <a:stretch>
                            <a:fillRect/>
                          </a:stretch>
                        </pic:blipFill>
                        <pic:spPr>
                          <a:xfrm>
                            <a:off x="0" y="0"/>
                            <a:ext cx="2503437" cy="2278127"/>
                          </a:xfrm>
                          <a:prstGeom prst="rect">
                            <a:avLst/>
                          </a:prstGeom>
                        </pic:spPr>
                      </pic:pic>
                    </a:graphicData>
                  </a:graphic>
                </wp:inline>
              </w:drawing>
            </w:r>
          </w:p>
        </w:tc>
        <w:tc>
          <w:tcPr>
            <w:tcW w:w="4822" w:type="dxa"/>
          </w:tcPr>
          <w:p w14:paraId="144F0AC5" w14:textId="4004B3BC" w:rsidR="009F1E4F" w:rsidRDefault="009F1E4F" w:rsidP="009F1E4F">
            <w:pPr>
              <w:pStyle w:val="CETBodytext"/>
            </w:pPr>
            <w:r>
              <w:t>b</w:t>
            </w:r>
            <w:r>
              <w:rPr>
                <w:noProof/>
                <w:lang w:val="en-GB"/>
              </w:rPr>
              <w:drawing>
                <wp:inline distT="0" distB="0" distL="0" distR="0" wp14:anchorId="054BD78E" wp14:editId="102D80CA">
                  <wp:extent cx="3030849" cy="2244725"/>
                  <wp:effectExtent l="0" t="0" r="0" b="3175"/>
                  <wp:docPr id="9840656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6746" cy="2263905"/>
                          </a:xfrm>
                          <a:prstGeom prst="rect">
                            <a:avLst/>
                          </a:prstGeom>
                          <a:noFill/>
                        </pic:spPr>
                      </pic:pic>
                    </a:graphicData>
                  </a:graphic>
                </wp:inline>
              </w:drawing>
            </w:r>
          </w:p>
        </w:tc>
      </w:tr>
    </w:tbl>
    <w:p w14:paraId="38330274" w14:textId="3075A787" w:rsidR="007018F0" w:rsidRPr="004803C3" w:rsidRDefault="009F1E4F" w:rsidP="00E96501">
      <w:pPr>
        <w:pStyle w:val="CETCaption"/>
        <w:rPr>
          <w:sz w:val="16"/>
          <w:szCs w:val="18"/>
          <w:lang w:val="en-US"/>
        </w:rPr>
      </w:pPr>
      <w:r w:rsidRPr="004803C3">
        <w:rPr>
          <w:sz w:val="16"/>
          <w:szCs w:val="18"/>
          <w:lang w:val="en-US"/>
        </w:rPr>
        <w:t xml:space="preserve">Figure </w:t>
      </w:r>
      <w:proofErr w:type="gramStart"/>
      <w:r w:rsidRPr="004803C3">
        <w:rPr>
          <w:sz w:val="16"/>
          <w:szCs w:val="18"/>
          <w:lang w:val="en-US"/>
        </w:rPr>
        <w:t xml:space="preserve">3  </w:t>
      </w:r>
      <w:r w:rsidR="004803C3" w:rsidRPr="004803C3">
        <w:rPr>
          <w:sz w:val="16"/>
          <w:szCs w:val="18"/>
        </w:rPr>
        <w:t>-</w:t>
      </w:r>
      <w:proofErr w:type="gramEnd"/>
      <w:r w:rsidR="004803C3" w:rsidRPr="004803C3">
        <w:rPr>
          <w:sz w:val="16"/>
          <w:szCs w:val="18"/>
        </w:rPr>
        <w:t xml:space="preserve"> Geometric configuration of the heterogeneous system (</w:t>
      </w:r>
      <w:r w:rsidR="004803C3">
        <w:rPr>
          <w:sz w:val="16"/>
          <w:szCs w:val="18"/>
        </w:rPr>
        <w:t xml:space="preserve">spherical </w:t>
      </w:r>
      <w:r w:rsidR="004803C3" w:rsidRPr="004803C3">
        <w:rPr>
          <w:sz w:val="16"/>
          <w:szCs w:val="18"/>
        </w:rPr>
        <w:t>c</w:t>
      </w:r>
      <w:r w:rsidR="004803C3">
        <w:rPr>
          <w:sz w:val="16"/>
          <w:szCs w:val="18"/>
        </w:rPr>
        <w:t>arrots</w:t>
      </w:r>
      <w:r w:rsidR="004803C3" w:rsidRPr="004803C3">
        <w:rPr>
          <w:sz w:val="16"/>
          <w:szCs w:val="18"/>
        </w:rPr>
        <w:t xml:space="preserve"> in solution) and distribution of energy sources on a normal plane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tblGrid>
      <w:tr w:rsidR="009F1E4F" w:rsidRPr="004803C3" w14:paraId="567B81E3" w14:textId="77777777" w:rsidTr="009F1E4F">
        <w:trPr>
          <w:jc w:val="center"/>
        </w:trPr>
        <w:tc>
          <w:tcPr>
            <w:tcW w:w="8565" w:type="dxa"/>
          </w:tcPr>
          <w:p w14:paraId="67F77012" w14:textId="29BCD217" w:rsidR="001B1936" w:rsidRDefault="00DA2063" w:rsidP="000D614A">
            <w:pPr>
              <w:pStyle w:val="CETBodytext"/>
            </w:pPr>
            <w:r w:rsidRPr="004803C3">
              <w:t xml:space="preserve"> </w:t>
            </w:r>
            <w:r w:rsidR="009F1E4F">
              <w:rPr>
                <w:lang w:val="en-GB"/>
              </w:rPr>
              <w:t xml:space="preserve">The Joule sources distribution on a cross section is reported in Fgure3b, </w:t>
            </w:r>
            <w:r w:rsidR="001B1936" w:rsidRPr="001B1936">
              <w:t>showing a greater production of energy due to the Joule effect near the carrots</w:t>
            </w:r>
            <w:r w:rsidR="001B1936">
              <w:t>.</w:t>
            </w:r>
          </w:p>
          <w:p w14:paraId="526417BA" w14:textId="02C924B9" w:rsidR="001B1936" w:rsidRDefault="001B1936" w:rsidP="00F433AE">
            <w:pPr>
              <w:pStyle w:val="CETBodytext"/>
            </w:pPr>
            <w:proofErr w:type="gramStart"/>
            <w:r w:rsidRPr="001B1936">
              <w:lastRenderedPageBreak/>
              <w:t>As a consequence of</w:t>
            </w:r>
            <w:proofErr w:type="gramEnd"/>
            <w:r w:rsidRPr="001B1936">
              <w:t xml:space="preserve"> this, due to the variation in density of the solution in which the solid parts are immersed, convective motions are generated with an ascending velocity in the internal area of the chamber and descending near the side walls</w:t>
            </w:r>
            <w:r w:rsidR="00113E0F">
              <w:t xml:space="preserve"> (Figure 4a and 4b)</w:t>
            </w:r>
            <w:r w:rsidRPr="001B1936">
              <w:t xml:space="preserve">.  </w:t>
            </w:r>
          </w:p>
          <w:p w14:paraId="143C388C" w14:textId="77777777" w:rsidR="00113E0F" w:rsidRDefault="00113E0F" w:rsidP="00F433AE">
            <w:pPr>
              <w:pStyle w:val="CETBodytext"/>
            </w:pPr>
          </w:p>
          <w:tbl>
            <w:tblPr>
              <w:tblStyle w:val="TableGrid"/>
              <w:tblW w:w="0" w:type="auto"/>
              <w:tblLook w:val="04A0" w:firstRow="1" w:lastRow="0" w:firstColumn="1" w:lastColumn="0" w:noHBand="0" w:noVBand="1"/>
            </w:tblPr>
            <w:tblGrid>
              <w:gridCol w:w="4282"/>
              <w:gridCol w:w="4279"/>
            </w:tblGrid>
            <w:tr w:rsidR="00113E0F" w14:paraId="28E5DEC2" w14:textId="77777777" w:rsidTr="00113E0F">
              <w:tc>
                <w:tcPr>
                  <w:tcW w:w="4169" w:type="dxa"/>
                </w:tcPr>
                <w:p w14:paraId="6458EA0D" w14:textId="5FE420EE" w:rsidR="00113E0F" w:rsidRDefault="00113E0F" w:rsidP="00F433AE">
                  <w:pPr>
                    <w:pStyle w:val="CETBodytext"/>
                  </w:pPr>
                  <w:r>
                    <w:t>a</w:t>
                  </w:r>
                  <w:r>
                    <w:rPr>
                      <w:noProof/>
                    </w:rPr>
                    <w:drawing>
                      <wp:inline distT="0" distB="0" distL="0" distR="0" wp14:anchorId="667E6F7E" wp14:editId="1B881DE6">
                        <wp:extent cx="2631918" cy="1633377"/>
                        <wp:effectExtent l="0" t="0" r="0" b="5080"/>
                        <wp:docPr id="9839726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3978" cy="1653273"/>
                                </a:xfrm>
                                <a:prstGeom prst="rect">
                                  <a:avLst/>
                                </a:prstGeom>
                                <a:noFill/>
                              </pic:spPr>
                            </pic:pic>
                          </a:graphicData>
                        </a:graphic>
                      </wp:inline>
                    </w:drawing>
                  </w:r>
                </w:p>
              </w:tc>
              <w:tc>
                <w:tcPr>
                  <w:tcW w:w="4170" w:type="dxa"/>
                </w:tcPr>
                <w:p w14:paraId="4217DF7F" w14:textId="4DD02A25" w:rsidR="00113E0F" w:rsidRDefault="00113E0F" w:rsidP="00F433AE">
                  <w:pPr>
                    <w:pStyle w:val="CETBodytext"/>
                  </w:pPr>
                  <w:r>
                    <w:rPr>
                      <w:noProof/>
                    </w:rPr>
                    <w:t>b</w:t>
                  </w:r>
                  <w:r>
                    <w:rPr>
                      <w:noProof/>
                    </w:rPr>
                    <w:drawing>
                      <wp:inline distT="0" distB="0" distL="0" distR="0" wp14:anchorId="56EF8217" wp14:editId="3D5E8F09">
                        <wp:extent cx="2623942" cy="2032873"/>
                        <wp:effectExtent l="0" t="0" r="5080" b="5715"/>
                        <wp:docPr id="6465223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2256" cy="2062556"/>
                                </a:xfrm>
                                <a:prstGeom prst="rect">
                                  <a:avLst/>
                                </a:prstGeom>
                                <a:noFill/>
                              </pic:spPr>
                            </pic:pic>
                          </a:graphicData>
                        </a:graphic>
                      </wp:inline>
                    </w:drawing>
                  </w:r>
                </w:p>
              </w:tc>
            </w:tr>
          </w:tbl>
          <w:p w14:paraId="0676D139" w14:textId="5CBF861B" w:rsidR="00113E0F" w:rsidRPr="004803C3" w:rsidRDefault="00113E0F" w:rsidP="00113E0F">
            <w:pPr>
              <w:pStyle w:val="CETCaption"/>
              <w:rPr>
                <w:sz w:val="16"/>
                <w:szCs w:val="18"/>
                <w:lang w:val="en-US"/>
              </w:rPr>
            </w:pPr>
            <w:r w:rsidRPr="004803C3">
              <w:rPr>
                <w:sz w:val="16"/>
                <w:szCs w:val="18"/>
                <w:lang w:val="en-US"/>
              </w:rPr>
              <w:t xml:space="preserve">Figure </w:t>
            </w:r>
            <w:proofErr w:type="gramStart"/>
            <w:r w:rsidR="004803C3" w:rsidRPr="004803C3">
              <w:rPr>
                <w:sz w:val="16"/>
                <w:szCs w:val="18"/>
                <w:lang w:val="en-US"/>
              </w:rPr>
              <w:t>4</w:t>
            </w:r>
            <w:r w:rsidRPr="004803C3">
              <w:rPr>
                <w:sz w:val="16"/>
                <w:szCs w:val="18"/>
                <w:lang w:val="en-US"/>
              </w:rPr>
              <w:t xml:space="preserve">  -</w:t>
            </w:r>
            <w:proofErr w:type="gramEnd"/>
            <w:r w:rsidRPr="004803C3">
              <w:rPr>
                <w:sz w:val="16"/>
                <w:szCs w:val="18"/>
                <w:lang w:val="en-US"/>
              </w:rPr>
              <w:t xml:space="preserve"> </w:t>
            </w:r>
            <w:r w:rsidR="004803C3" w:rsidRPr="004803C3">
              <w:rPr>
                <w:sz w:val="16"/>
                <w:szCs w:val="18"/>
                <w:lang w:val="en-US"/>
              </w:rPr>
              <w:t>Vector plot</w:t>
            </w:r>
            <w:r w:rsidR="004803C3" w:rsidRPr="004803C3">
              <w:rPr>
                <w:sz w:val="16"/>
                <w:szCs w:val="18"/>
              </w:rPr>
              <w:t xml:space="preserve"> of the velocity field into two perpendicular sections of the heating chamber</w:t>
            </w:r>
            <w:r w:rsidR="004803C3">
              <w:rPr>
                <w:sz w:val="16"/>
                <w:szCs w:val="18"/>
              </w:rPr>
              <w:t xml:space="preserve"> after 30 s.</w:t>
            </w:r>
          </w:p>
          <w:p w14:paraId="17D25705" w14:textId="77777777" w:rsidR="00113E0F" w:rsidRPr="004803C3" w:rsidRDefault="00113E0F" w:rsidP="00F433AE">
            <w:pPr>
              <w:pStyle w:val="CETBodytext"/>
            </w:pPr>
          </w:p>
          <w:p w14:paraId="6F5CEC69" w14:textId="576C4F07" w:rsidR="009F1E4F" w:rsidRPr="004803C3" w:rsidRDefault="00113E0F" w:rsidP="009F1E4F">
            <w:pPr>
              <w:pStyle w:val="CETBodytext"/>
              <w:jc w:val="center"/>
            </w:pPr>
            <w:r w:rsidRPr="004803C3">
              <w:t xml:space="preserve"> </w:t>
            </w:r>
          </w:p>
        </w:tc>
      </w:tr>
      <w:tr w:rsidR="009F1E4F" w:rsidRPr="004803C3" w14:paraId="26EFE1B6" w14:textId="77777777" w:rsidTr="009F1E4F">
        <w:trPr>
          <w:jc w:val="center"/>
        </w:trPr>
        <w:tc>
          <w:tcPr>
            <w:tcW w:w="8565" w:type="dxa"/>
          </w:tcPr>
          <w:p w14:paraId="1C245037" w14:textId="0A2A9BF8" w:rsidR="009F1E4F" w:rsidRPr="004803C3" w:rsidRDefault="00113E0F" w:rsidP="009F1E4F">
            <w:pPr>
              <w:pStyle w:val="CETBodytext"/>
              <w:jc w:val="center"/>
            </w:pPr>
            <w:r w:rsidRPr="004803C3">
              <w:lastRenderedPageBreak/>
              <w:t xml:space="preserve"> </w:t>
            </w:r>
          </w:p>
        </w:tc>
      </w:tr>
    </w:tbl>
    <w:p w14:paraId="04337F24" w14:textId="330D75AE" w:rsidR="007018F0" w:rsidRPr="004803C3" w:rsidRDefault="007018F0" w:rsidP="007018F0">
      <w:pPr>
        <w:pStyle w:val="CETBodytext"/>
        <w:jc w:val="center"/>
      </w:pPr>
    </w:p>
    <w:p w14:paraId="500F2DB2" w14:textId="1B4EE4D7" w:rsidR="009F1E4F" w:rsidRDefault="001B1936" w:rsidP="007018F0">
      <w:pPr>
        <w:pStyle w:val="CETBodytext"/>
        <w:jc w:val="center"/>
        <w:rPr>
          <w:lang w:val="en-GB"/>
        </w:rPr>
      </w:pPr>
      <w:r w:rsidRPr="001B1936">
        <w:rPr>
          <w:noProof/>
          <w:lang w:val="en-GB"/>
        </w:rPr>
        <w:drawing>
          <wp:inline distT="0" distB="0" distL="0" distR="0" wp14:anchorId="3CADD6CF" wp14:editId="4593D83E">
            <wp:extent cx="3409845" cy="2776538"/>
            <wp:effectExtent l="0" t="0" r="635" b="5080"/>
            <wp:docPr id="1478089540" name="Picture 7" descr="A computer generated image of a bench&#10;&#10;AI-generated content may be incorrect.">
              <a:extLst xmlns:a="http://schemas.openxmlformats.org/drawingml/2006/main">
                <a:ext uri="{FF2B5EF4-FFF2-40B4-BE49-F238E27FC236}">
                  <a16:creationId xmlns:a16="http://schemas.microsoft.com/office/drawing/2014/main" id="{ED31ABDD-E242-45FD-F2A0-96C70C058C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89540" name="Picture 7" descr="A computer generated image of a bench&#10;&#10;AI-generated content may be incorrect.">
                      <a:extLst>
                        <a:ext uri="{FF2B5EF4-FFF2-40B4-BE49-F238E27FC236}">
                          <a16:creationId xmlns:a16="http://schemas.microsoft.com/office/drawing/2014/main" id="{ED31ABDD-E242-45FD-F2A0-96C70C058C21}"/>
                        </a:ext>
                      </a:extLst>
                    </pic:cNvPr>
                    <pic:cNvPicPr>
                      <a:picLocks noChangeAspect="1"/>
                    </pic:cNvPicPr>
                  </pic:nvPicPr>
                  <pic:blipFill>
                    <a:blip r:embed="rId17"/>
                    <a:stretch>
                      <a:fillRect/>
                    </a:stretch>
                  </pic:blipFill>
                  <pic:spPr>
                    <a:xfrm>
                      <a:off x="0" y="0"/>
                      <a:ext cx="3415925" cy="2781489"/>
                    </a:xfrm>
                    <a:prstGeom prst="rect">
                      <a:avLst/>
                    </a:prstGeom>
                  </pic:spPr>
                </pic:pic>
              </a:graphicData>
            </a:graphic>
          </wp:inline>
        </w:drawing>
      </w:r>
    </w:p>
    <w:p w14:paraId="780D7A58" w14:textId="77777777" w:rsidR="009F1E4F" w:rsidRDefault="009F1E4F" w:rsidP="007018F0">
      <w:pPr>
        <w:pStyle w:val="CETBodytext"/>
        <w:jc w:val="center"/>
        <w:rPr>
          <w:lang w:val="en-GB"/>
        </w:rPr>
      </w:pPr>
    </w:p>
    <w:p w14:paraId="2B7A886A" w14:textId="77777777" w:rsidR="001B1936" w:rsidRDefault="001B1936" w:rsidP="007018F0">
      <w:pPr>
        <w:pStyle w:val="CETBodytext"/>
        <w:jc w:val="center"/>
        <w:rPr>
          <w:lang w:val="en-GB"/>
        </w:rPr>
      </w:pPr>
    </w:p>
    <w:p w14:paraId="4B468F37" w14:textId="1A23C11C" w:rsidR="004803C3" w:rsidRPr="004803C3" w:rsidRDefault="004803C3" w:rsidP="004803C3">
      <w:pPr>
        <w:pStyle w:val="CETCaption"/>
        <w:rPr>
          <w:sz w:val="16"/>
          <w:szCs w:val="18"/>
          <w:lang w:val="en-US"/>
        </w:rPr>
      </w:pPr>
      <w:r w:rsidRPr="004803C3">
        <w:rPr>
          <w:sz w:val="16"/>
          <w:szCs w:val="18"/>
          <w:lang w:val="en-US"/>
        </w:rPr>
        <w:t xml:space="preserve">Figure </w:t>
      </w:r>
      <w:proofErr w:type="gramStart"/>
      <w:r w:rsidRPr="004803C3">
        <w:rPr>
          <w:sz w:val="16"/>
          <w:szCs w:val="18"/>
          <w:lang w:val="en-US"/>
        </w:rPr>
        <w:t xml:space="preserve">5  </w:t>
      </w:r>
      <w:r w:rsidRPr="004803C3">
        <w:rPr>
          <w:sz w:val="16"/>
          <w:szCs w:val="18"/>
        </w:rPr>
        <w:t>-</w:t>
      </w:r>
      <w:proofErr w:type="gramEnd"/>
      <w:r w:rsidRPr="004803C3">
        <w:rPr>
          <w:sz w:val="16"/>
          <w:szCs w:val="18"/>
        </w:rPr>
        <w:t xml:space="preserve"> Distribution of the internal temperature after </w:t>
      </w:r>
      <w:r w:rsidRPr="004803C3">
        <w:rPr>
          <w:sz w:val="16"/>
          <w:szCs w:val="18"/>
          <w:lang w:val="en-US"/>
        </w:rPr>
        <w:t>30s</w:t>
      </w:r>
    </w:p>
    <w:p w14:paraId="548FC52E" w14:textId="072F330C" w:rsidR="004803C3" w:rsidRDefault="004803C3" w:rsidP="00EA2E4B">
      <w:pPr>
        <w:pStyle w:val="CETBodytext"/>
      </w:pPr>
      <w:r>
        <w:t>In systems containing liquid phases, the density gradients induced by temperature differences lead to buoyancy-driven fluid motion</w:t>
      </w:r>
      <w:r w:rsidR="00EA2E4B">
        <w:t xml:space="preserve"> (Figure 5)</w:t>
      </w:r>
      <w:r>
        <w:t xml:space="preserve">. This natural convection results in the upward movement of warmer, less dense fluid and the downward sinking of cooler regions, establishing circulation patterns. </w:t>
      </w:r>
      <w:r w:rsidR="004446F2">
        <w:t>Consequently</w:t>
      </w:r>
      <w:r>
        <w:t xml:space="preserve">, a consistent vertical stratification of temperature may occur, with the upper layers often reaching higher temperatures while the lower regions remain comparatively cooler. This phenomenon undermines the inherent advantage of ohmic heating as a volumetric method, introducing spatial non-uniformity in thermal distribution. Such stratification is particularly critical when the heating profile must be tightly controlled to ensure product safety, quality, or </w:t>
      </w:r>
      <w:r>
        <w:lastRenderedPageBreak/>
        <w:t>regulatory compliance. Ignoring this effect in simulation models may lead to an underestimation of cold spots and an overestimation of process efficiency.</w:t>
      </w:r>
    </w:p>
    <w:p w14:paraId="2A8C4CEE" w14:textId="77777777" w:rsidR="004803C3" w:rsidRDefault="004803C3" w:rsidP="004803C3">
      <w:pPr>
        <w:pStyle w:val="CETBodytext"/>
        <w:jc w:val="center"/>
      </w:pPr>
    </w:p>
    <w:p w14:paraId="68D26B83" w14:textId="34407AE3" w:rsidR="00600535" w:rsidRPr="00841F9E" w:rsidRDefault="003A228B" w:rsidP="00600535">
      <w:pPr>
        <w:pStyle w:val="CETHeading1"/>
        <w:rPr>
          <w:lang w:val="en-GB"/>
        </w:rPr>
      </w:pPr>
      <w:r w:rsidRPr="00841F9E">
        <w:rPr>
          <w:lang w:val="en-GB"/>
        </w:rPr>
        <w:t>C</w:t>
      </w:r>
      <w:r w:rsidR="00600535" w:rsidRPr="00841F9E">
        <w:rPr>
          <w:lang w:val="en-GB"/>
        </w:rPr>
        <w:t>onclusions</w:t>
      </w:r>
    </w:p>
    <w:p w14:paraId="2A3436E5" w14:textId="1A563217" w:rsidR="009F1E4F" w:rsidRDefault="00E96501" w:rsidP="00E96501">
      <w:pPr>
        <w:pStyle w:val="CETReference"/>
        <w:jc w:val="both"/>
      </w:pPr>
      <w:r w:rsidRPr="00E96501">
        <w:rPr>
          <w:b w:val="0"/>
        </w:rPr>
        <w:t xml:space="preserve">The accurate application of boundary conditions plays a pivotal role in the numerical simulation of ohmic heating processes, particularly when dealing with heterogeneous food matrices. Since both the electric field and the resulting heat distribution are strongly influenced by the nature and placement of boundary constraints, inappropriate or oversimplified conditions can lead to significant deviations from real-world </w:t>
      </w:r>
      <w:proofErr w:type="spellStart"/>
      <w:r w:rsidRPr="00E96501">
        <w:rPr>
          <w:b w:val="0"/>
        </w:rPr>
        <w:t>behavior</w:t>
      </w:r>
      <w:proofErr w:type="spellEnd"/>
      <w:r w:rsidRPr="00E96501">
        <w:rPr>
          <w:b w:val="0"/>
        </w:rPr>
        <w:t>.</w:t>
      </w:r>
      <w:r>
        <w:rPr>
          <w:b w:val="0"/>
        </w:rPr>
        <w:t xml:space="preserve"> </w:t>
      </w:r>
      <w:r w:rsidRPr="00E96501">
        <w:rPr>
          <w:b w:val="0"/>
        </w:rPr>
        <w:t>Electric field boundary conditions—whether defined in terms of steady-state RMS values or time-dependent waveforms—directly govern the distribution of current and thus the spatial pattern of heat generation. Similarly, thermal boundary conditions control how heat escapes or accumulates at the system boundaries, influencing both transient and steady-state temperature profiles within the food.</w:t>
      </w:r>
      <w:r>
        <w:rPr>
          <w:b w:val="0"/>
        </w:rPr>
        <w:t xml:space="preserve"> </w:t>
      </w:r>
      <w:r w:rsidRPr="00E96501">
        <w:rPr>
          <w:b w:val="0"/>
        </w:rPr>
        <w:t>Incorporating realistic, geometry-specific, and possibly time-varying boundary conditions enhances the predictive capability of simulation models, making them more suitable for optimization, control, and design of industrial ohmic heating systems. Therefore, special attention must be paid to the definition and implementation of boundary conditions when developing or interpreting numerical models for ohmic heating applications in food engineering.</w:t>
      </w:r>
      <w:r>
        <w:rPr>
          <w:b w:val="0"/>
        </w:rPr>
        <w:t xml:space="preserve"> </w:t>
      </w:r>
      <w:r w:rsidRPr="00E96501">
        <w:rPr>
          <w:b w:val="0"/>
        </w:rPr>
        <w:t xml:space="preserve">In the </w:t>
      </w:r>
      <w:proofErr w:type="spellStart"/>
      <w:r w:rsidRPr="00E96501">
        <w:rPr>
          <w:b w:val="0"/>
        </w:rPr>
        <w:t>modeling</w:t>
      </w:r>
      <w:proofErr w:type="spellEnd"/>
      <w:r w:rsidRPr="00E96501">
        <w:rPr>
          <w:b w:val="0"/>
        </w:rPr>
        <w:t xml:space="preserve"> of ohmic heating processes, particularly in heterogeneous food systems, the accurate representation of convective motion is essential to predict realistic temperature distributions. Although ohmic heating is primarily driven by internal heat generation through electrical resistance, the presence of fluid phases within the system—such as brine, juice, or other aqueous components—introduces convective heat transfer phenomena that can significantly alter thermal gradients.</w:t>
      </w:r>
      <w:r>
        <w:rPr>
          <w:b w:val="0"/>
        </w:rPr>
        <w:t xml:space="preserve"> </w:t>
      </w:r>
      <w:r w:rsidRPr="00E96501">
        <w:rPr>
          <w:b w:val="0"/>
        </w:rPr>
        <w:t>Natural or forced convection can enhance heat redistribution, especially in regions of high temperature or low viscosity, and thus influence the overall heating uniformity. This is particularly relevant in scenarios where solid particles are suspended in a conductive liquid medium, as fluid movement around these inclusions can lead to localized hot or cold spots that affect product quality and safety.</w:t>
      </w:r>
      <w:r>
        <w:rPr>
          <w:b w:val="0"/>
        </w:rPr>
        <w:t xml:space="preserve"> </w:t>
      </w:r>
      <w:r w:rsidRPr="00E96501">
        <w:rPr>
          <w:b w:val="0"/>
        </w:rPr>
        <w:t xml:space="preserve">Neglecting convective contributions may lead to underestimation of heating rates in fluid zones or overestimation in stagnant regions. Therefore, integrating convection </w:t>
      </w:r>
      <w:proofErr w:type="spellStart"/>
      <w:r w:rsidRPr="00E96501">
        <w:rPr>
          <w:b w:val="0"/>
        </w:rPr>
        <w:t>modeling</w:t>
      </w:r>
      <w:proofErr w:type="spellEnd"/>
      <w:r w:rsidRPr="00E96501">
        <w:rPr>
          <w:b w:val="0"/>
        </w:rPr>
        <w:t>—either by coupling energy equations with momentum equations (e.g., Navier-Stokes) or by applying empirical convection-enhanced conductivity factors—can improve the fidelity of simulations. This is especially critical when designing industrial-scale equipment or optimizing process parameters for complex multiphase food systems.</w:t>
      </w:r>
    </w:p>
    <w:p w14:paraId="03507984" w14:textId="47D17BF1" w:rsidR="00600535" w:rsidRPr="00841F9E" w:rsidRDefault="00600535" w:rsidP="00C62D4F">
      <w:pPr>
        <w:pStyle w:val="CETReference"/>
      </w:pPr>
      <w:r w:rsidRPr="00841F9E">
        <w:t>References</w:t>
      </w:r>
    </w:p>
    <w:p w14:paraId="6F4CFBF9" w14:textId="6EF1D936" w:rsidR="00DA2063" w:rsidRDefault="009B18DF" w:rsidP="00156995">
      <w:pPr>
        <w:pStyle w:val="EndNoteBibliography"/>
        <w:ind w:left="720" w:hanging="720"/>
        <w:rPr>
          <w:sz w:val="16"/>
          <w:szCs w:val="16"/>
        </w:rPr>
      </w:pPr>
      <w:r w:rsidRPr="00D36DEA">
        <w:rPr>
          <w:sz w:val="16"/>
          <w:szCs w:val="16"/>
        </w:rPr>
        <w:fldChar w:fldCharType="begin"/>
      </w:r>
      <w:r w:rsidRPr="004446F2">
        <w:rPr>
          <w:sz w:val="16"/>
          <w:szCs w:val="16"/>
        </w:rPr>
        <w:instrText xml:space="preserve"> ADDIN EN.REFLIST </w:instrText>
      </w:r>
      <w:r w:rsidRPr="00D36DEA">
        <w:rPr>
          <w:sz w:val="16"/>
          <w:szCs w:val="16"/>
        </w:rPr>
        <w:fldChar w:fldCharType="separate"/>
      </w:r>
    </w:p>
    <w:p w14:paraId="2DE7CC3E" w14:textId="1B5B2D06" w:rsidR="00DA2063" w:rsidRPr="00DA2063" w:rsidRDefault="00DA2063" w:rsidP="00DA2063">
      <w:pPr>
        <w:pStyle w:val="EndNoteBibliography"/>
        <w:ind w:left="720" w:hanging="720"/>
        <w:rPr>
          <w:sz w:val="16"/>
          <w:szCs w:val="16"/>
        </w:rPr>
      </w:pPr>
      <w:r w:rsidRPr="00DA2063">
        <w:rPr>
          <w:sz w:val="16"/>
          <w:szCs w:val="16"/>
        </w:rPr>
        <w:t>Ruan, R., Ye, X., Chen, P., &amp; Doona, C. (2001). Ohmic heating: A review. Journal of Food Process Engineering, 24(2), 91–108.</w:t>
      </w:r>
    </w:p>
    <w:p w14:paraId="334646ED" w14:textId="77777777" w:rsidR="00DA2063" w:rsidRPr="00DA2063" w:rsidRDefault="00DA2063" w:rsidP="00DA2063">
      <w:pPr>
        <w:pStyle w:val="EndNoteBibliography"/>
        <w:ind w:left="720" w:hanging="720"/>
        <w:rPr>
          <w:sz w:val="16"/>
          <w:szCs w:val="16"/>
        </w:rPr>
      </w:pPr>
      <w:r w:rsidRPr="00DA2063">
        <w:rPr>
          <w:sz w:val="16"/>
          <w:szCs w:val="16"/>
        </w:rPr>
        <w:t>Haghighat Khajavi, S., Haddadnia, A., &amp; Kenari, R. E. (2014). Modeling of ohmic heating of a two-phase system. Heat and Mass Transfer, 50(8), 1081–1089.</w:t>
      </w:r>
    </w:p>
    <w:p w14:paraId="2A1BB89B" w14:textId="77777777" w:rsidR="00DA2063" w:rsidRDefault="00DA2063" w:rsidP="00DA2063">
      <w:pPr>
        <w:pStyle w:val="EndNoteBibliography"/>
        <w:ind w:left="720" w:hanging="720"/>
        <w:rPr>
          <w:sz w:val="16"/>
          <w:szCs w:val="16"/>
        </w:rPr>
      </w:pPr>
      <w:r w:rsidRPr="00DA2063">
        <w:rPr>
          <w:sz w:val="16"/>
          <w:szCs w:val="16"/>
        </w:rPr>
        <w:t>Jittanit, W., Charoenrein, S., &amp; Nathakaranakule, A. (2010). Ohmic heating-assisted drying of fruits and vegetables: A review. Drying Technology, 28(8), 986–996.</w:t>
      </w:r>
    </w:p>
    <w:p w14:paraId="30932431" w14:textId="566D1139" w:rsidR="00DA2063" w:rsidRPr="00DA2063" w:rsidRDefault="00DA2063" w:rsidP="00DA2063">
      <w:pPr>
        <w:pStyle w:val="EndNoteBibliography"/>
        <w:ind w:left="720" w:hanging="720"/>
        <w:rPr>
          <w:sz w:val="16"/>
          <w:szCs w:val="16"/>
        </w:rPr>
      </w:pPr>
      <w:r w:rsidRPr="00DA2063">
        <w:rPr>
          <w:sz w:val="16"/>
          <w:szCs w:val="16"/>
        </w:rPr>
        <w:t>Nguyen, L. T., &amp; Nguyen, M. H. (2013). Simulation of ohmic heating of a two-phase food product using finite element method. Journal of Food Engineering, 115(2), 241–249.</w:t>
      </w:r>
    </w:p>
    <w:p w14:paraId="17E03216" w14:textId="2E619FDF" w:rsidR="00DA2063" w:rsidRPr="00DA2063" w:rsidRDefault="00DA2063" w:rsidP="00DA2063">
      <w:pPr>
        <w:pStyle w:val="EndNoteBibliography"/>
        <w:ind w:left="720" w:hanging="720"/>
        <w:rPr>
          <w:sz w:val="16"/>
          <w:szCs w:val="16"/>
        </w:rPr>
      </w:pPr>
      <w:r w:rsidRPr="00DA2063">
        <w:rPr>
          <w:sz w:val="16"/>
          <w:szCs w:val="16"/>
        </w:rPr>
        <w:t>Sarang, S., Sastry, S. K., &amp; Knipe, L. (2008). Electrical conductivity of fruits and meats during ohmic heating. Journal of Food Engineering, 87(3), 351–356.</w:t>
      </w:r>
    </w:p>
    <w:p w14:paraId="4E818BBB" w14:textId="77777777" w:rsidR="00DA2063" w:rsidRPr="00DA2063" w:rsidRDefault="00DA2063" w:rsidP="00DA2063">
      <w:pPr>
        <w:pStyle w:val="EndNoteBibliography"/>
        <w:ind w:left="720" w:hanging="720"/>
        <w:rPr>
          <w:sz w:val="16"/>
          <w:szCs w:val="16"/>
        </w:rPr>
      </w:pPr>
      <w:r w:rsidRPr="00DA2063">
        <w:rPr>
          <w:sz w:val="16"/>
          <w:szCs w:val="16"/>
        </w:rPr>
        <w:t>Sastry, S. K., &amp; Barach, J. T. (1995). Ohmic and inductive heating. Food Science and Technology International, 1(5), 405–415.</w:t>
      </w:r>
    </w:p>
    <w:p w14:paraId="5ADA7300" w14:textId="77777777" w:rsidR="00DA2063" w:rsidRPr="00DA2063" w:rsidRDefault="00DA2063" w:rsidP="00DA2063">
      <w:pPr>
        <w:pStyle w:val="EndNoteBibliography"/>
        <w:ind w:left="720" w:hanging="720"/>
        <w:rPr>
          <w:sz w:val="16"/>
          <w:szCs w:val="16"/>
        </w:rPr>
      </w:pPr>
      <w:r w:rsidRPr="00DA2063">
        <w:rPr>
          <w:sz w:val="16"/>
          <w:szCs w:val="16"/>
        </w:rPr>
        <w:t>Sastry, S. K., &amp; Li, Q. (1996). Modeling the ohmic heating of liquid–particulate mixtures. Food Research International, 29(5–6), 493–502.</w:t>
      </w:r>
    </w:p>
    <w:p w14:paraId="712EF537" w14:textId="77777777" w:rsidR="00DA2063" w:rsidRDefault="00DA2063" w:rsidP="00156995">
      <w:pPr>
        <w:pStyle w:val="EndNoteBibliography"/>
        <w:ind w:left="720" w:hanging="720"/>
        <w:rPr>
          <w:sz w:val="16"/>
          <w:szCs w:val="16"/>
        </w:rPr>
      </w:pPr>
    </w:p>
    <w:p w14:paraId="6DA1D5AD" w14:textId="77777777" w:rsidR="00DA2063" w:rsidRDefault="00DA2063" w:rsidP="00156995">
      <w:pPr>
        <w:pStyle w:val="EndNoteBibliography"/>
        <w:ind w:left="720" w:hanging="720"/>
        <w:rPr>
          <w:sz w:val="16"/>
          <w:szCs w:val="16"/>
        </w:rPr>
      </w:pPr>
    </w:p>
    <w:p w14:paraId="37EBC378" w14:textId="77777777" w:rsidR="00DA2063" w:rsidRDefault="00DA2063" w:rsidP="00156995">
      <w:pPr>
        <w:pStyle w:val="EndNoteBibliography"/>
        <w:ind w:left="720" w:hanging="720"/>
        <w:rPr>
          <w:sz w:val="16"/>
          <w:szCs w:val="16"/>
        </w:rPr>
      </w:pPr>
    </w:p>
    <w:p w14:paraId="7BA8FF83" w14:textId="77777777" w:rsidR="00DA2063" w:rsidRDefault="00DA2063" w:rsidP="00156995">
      <w:pPr>
        <w:pStyle w:val="EndNoteBibliography"/>
        <w:ind w:left="720" w:hanging="720"/>
        <w:rPr>
          <w:sz w:val="16"/>
          <w:szCs w:val="16"/>
        </w:rPr>
      </w:pPr>
    </w:p>
    <w:p w14:paraId="0A5CB737" w14:textId="41E98907" w:rsidR="00DA2063" w:rsidRPr="00D36DEA" w:rsidRDefault="00DA2063" w:rsidP="00DA2063">
      <w:pPr>
        <w:pStyle w:val="EndNoteBibliography"/>
        <w:ind w:left="720" w:hanging="720"/>
        <w:rPr>
          <w:sz w:val="16"/>
          <w:szCs w:val="16"/>
        </w:rPr>
      </w:pPr>
      <w:r>
        <w:rPr>
          <w:sz w:val="16"/>
          <w:szCs w:val="16"/>
          <w:lang w:val="it-IT"/>
        </w:rPr>
        <w:t xml:space="preserve"> </w:t>
      </w:r>
    </w:p>
    <w:p w14:paraId="1BED75F8" w14:textId="373AB8F2" w:rsidR="00156995" w:rsidRPr="00D36DEA" w:rsidRDefault="00156995" w:rsidP="00156995">
      <w:pPr>
        <w:pStyle w:val="EndNoteBibliography"/>
        <w:ind w:left="720" w:hanging="720"/>
        <w:rPr>
          <w:sz w:val="16"/>
          <w:szCs w:val="16"/>
        </w:rPr>
      </w:pPr>
      <w:r w:rsidRPr="00D36DEA">
        <w:rPr>
          <w:sz w:val="16"/>
          <w:szCs w:val="16"/>
        </w:rPr>
        <w:t xml:space="preserve"> </w:t>
      </w:r>
    </w:p>
    <w:p w14:paraId="19C4FC68" w14:textId="50139FFC" w:rsidR="004628D2" w:rsidRPr="00C62D4F" w:rsidRDefault="009B18DF" w:rsidP="00A76EC9">
      <w:pPr>
        <w:pStyle w:val="EndNoteBibliography"/>
        <w:ind w:left="720" w:hanging="720"/>
        <w:rPr>
          <w:b/>
        </w:rPr>
      </w:pPr>
      <w:r w:rsidRPr="00D36DEA">
        <w:rPr>
          <w:sz w:val="16"/>
          <w:szCs w:val="16"/>
        </w:rPr>
        <w:fldChar w:fldCharType="end"/>
      </w:r>
    </w:p>
    <w:sectPr w:rsidR="004628D2" w:rsidRPr="00C62D4F" w:rsidSect="00A714E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6A5D5" w14:textId="77777777" w:rsidR="001D5858" w:rsidRDefault="001D5858" w:rsidP="004F5E36">
      <w:r>
        <w:separator/>
      </w:r>
    </w:p>
  </w:endnote>
  <w:endnote w:type="continuationSeparator" w:id="0">
    <w:p w14:paraId="1BC40A73" w14:textId="77777777" w:rsidR="001D5858" w:rsidRDefault="001D585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D9D14" w14:textId="77777777" w:rsidR="001D5858" w:rsidRDefault="001D5858" w:rsidP="004F5E36">
      <w:r>
        <w:separator/>
      </w:r>
    </w:p>
  </w:footnote>
  <w:footnote w:type="continuationSeparator" w:id="0">
    <w:p w14:paraId="4FEF3291" w14:textId="77777777" w:rsidR="001D5858" w:rsidRDefault="001D585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E2E150B"/>
    <w:multiLevelType w:val="multilevel"/>
    <w:tmpl w:val="059A5148"/>
    <w:lvl w:ilvl="0">
      <w:start w:val="1"/>
      <w:numFmt w:val="decimal"/>
      <w:lvlText w:val="%1."/>
      <w:lvlJc w:val="left"/>
      <w:pPr>
        <w:ind w:left="360" w:hanging="360"/>
      </w:pPr>
      <w:rPr>
        <w:rFonts w:ascii="Arial" w:hAnsi="Arial" w:cs="Arial" w:hint="default"/>
        <w:b/>
        <w:bCs/>
        <w:sz w:val="24"/>
        <w:szCs w:val="24"/>
      </w:rPr>
    </w:lvl>
    <w:lvl w:ilvl="1">
      <w:start w:val="1"/>
      <w:numFmt w:val="decimal"/>
      <w:isLgl/>
      <w:lvlText w:val="%1.%2."/>
      <w:lvlJc w:val="left"/>
      <w:pPr>
        <w:ind w:left="720" w:hanging="720"/>
      </w:pPr>
      <w:rPr>
        <w:rFonts w:hint="default"/>
        <w:b/>
        <w:bCs/>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2438217E"/>
    <w:multiLevelType w:val="multilevel"/>
    <w:tmpl w:val="4B44D0E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266A6431"/>
    <w:multiLevelType w:val="multilevel"/>
    <w:tmpl w:val="E9E0D8DC"/>
    <w:lvl w:ilvl="0">
      <w:start w:val="2"/>
      <w:numFmt w:val="decimal"/>
      <w:lvlText w:val="%1."/>
      <w:lvlJc w:val="left"/>
      <w:pPr>
        <w:ind w:left="360" w:hanging="360"/>
      </w:pPr>
      <w:rPr>
        <w:rFonts w:hint="default"/>
        <w:b w:val="0"/>
        <w:sz w:val="20"/>
      </w:rPr>
    </w:lvl>
    <w:lvl w:ilvl="1">
      <w:start w:val="2"/>
      <w:numFmt w:val="decimal"/>
      <w:lvlText w:val="%1.%2."/>
      <w:lvlJc w:val="left"/>
      <w:pPr>
        <w:ind w:left="360" w:hanging="360"/>
      </w:pPr>
      <w:rPr>
        <w:rFonts w:hint="default"/>
        <w:b w:val="0"/>
        <w:sz w:val="20"/>
      </w:rPr>
    </w:lvl>
    <w:lvl w:ilvl="2">
      <w:start w:val="1"/>
      <w:numFmt w:val="decimal"/>
      <w:lvlText w:val="%1.%2.%3."/>
      <w:lvlJc w:val="left"/>
      <w:pPr>
        <w:ind w:left="720" w:hanging="720"/>
      </w:pPr>
      <w:rPr>
        <w:rFonts w:hint="default"/>
        <w:b w:val="0"/>
        <w:sz w:val="20"/>
      </w:rPr>
    </w:lvl>
    <w:lvl w:ilvl="3">
      <w:start w:val="1"/>
      <w:numFmt w:val="decimal"/>
      <w:lvlText w:val="%1.%2.%3.%4."/>
      <w:lvlJc w:val="left"/>
      <w:pPr>
        <w:ind w:left="720" w:hanging="720"/>
      </w:pPr>
      <w:rPr>
        <w:rFonts w:hint="default"/>
        <w:b w:val="0"/>
        <w:sz w:val="20"/>
      </w:rPr>
    </w:lvl>
    <w:lvl w:ilvl="4">
      <w:start w:val="1"/>
      <w:numFmt w:val="decimal"/>
      <w:lvlText w:val="%1.%2.%3.%4.%5."/>
      <w:lvlJc w:val="left"/>
      <w:pPr>
        <w:ind w:left="1080" w:hanging="1080"/>
      </w:pPr>
      <w:rPr>
        <w:rFonts w:hint="default"/>
        <w:b w:val="0"/>
        <w:sz w:val="20"/>
      </w:rPr>
    </w:lvl>
    <w:lvl w:ilvl="5">
      <w:start w:val="1"/>
      <w:numFmt w:val="decimal"/>
      <w:lvlText w:val="%1.%2.%3.%4.%5.%6."/>
      <w:lvlJc w:val="left"/>
      <w:pPr>
        <w:ind w:left="1080" w:hanging="1080"/>
      </w:pPr>
      <w:rPr>
        <w:rFonts w:hint="default"/>
        <w:b w:val="0"/>
        <w:sz w:val="20"/>
      </w:rPr>
    </w:lvl>
    <w:lvl w:ilvl="6">
      <w:start w:val="1"/>
      <w:numFmt w:val="decimal"/>
      <w:lvlText w:val="%1.%2.%3.%4.%5.%6.%7."/>
      <w:lvlJc w:val="left"/>
      <w:pPr>
        <w:ind w:left="1080" w:hanging="1080"/>
      </w:pPr>
      <w:rPr>
        <w:rFonts w:hint="default"/>
        <w:b w:val="0"/>
        <w:sz w:val="20"/>
      </w:rPr>
    </w:lvl>
    <w:lvl w:ilvl="7">
      <w:start w:val="1"/>
      <w:numFmt w:val="decimal"/>
      <w:lvlText w:val="%1.%2.%3.%4.%5.%6.%7.%8."/>
      <w:lvlJc w:val="left"/>
      <w:pPr>
        <w:ind w:left="1440" w:hanging="1440"/>
      </w:pPr>
      <w:rPr>
        <w:rFonts w:hint="default"/>
        <w:b w:val="0"/>
        <w:sz w:val="20"/>
      </w:rPr>
    </w:lvl>
    <w:lvl w:ilvl="8">
      <w:start w:val="1"/>
      <w:numFmt w:val="decimal"/>
      <w:lvlText w:val="%1.%2.%3.%4.%5.%6.%7.%8.%9."/>
      <w:lvlJc w:val="left"/>
      <w:pPr>
        <w:ind w:left="1440" w:hanging="1440"/>
      </w:pPr>
      <w:rPr>
        <w:rFonts w:hint="default"/>
        <w:b w:val="0"/>
        <w:sz w:val="20"/>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DB5300B"/>
    <w:multiLevelType w:val="hybridMultilevel"/>
    <w:tmpl w:val="955A08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9157EF6"/>
    <w:multiLevelType w:val="multilevel"/>
    <w:tmpl w:val="102CEAE4"/>
    <w:lvl w:ilvl="0">
      <w:start w:val="2"/>
      <w:numFmt w:val="decimal"/>
      <w:lvlText w:val="%1."/>
      <w:lvlJc w:val="left"/>
      <w:pPr>
        <w:ind w:left="360" w:hanging="360"/>
      </w:pPr>
      <w:rPr>
        <w:rFonts w:hint="default"/>
        <w:b w:val="0"/>
        <w:sz w:val="20"/>
      </w:rPr>
    </w:lvl>
    <w:lvl w:ilvl="1">
      <w:start w:val="1"/>
      <w:numFmt w:val="decimal"/>
      <w:lvlText w:val="%1.%2."/>
      <w:lvlJc w:val="left"/>
      <w:pPr>
        <w:ind w:left="360" w:hanging="360"/>
      </w:pPr>
      <w:rPr>
        <w:rFonts w:hint="default"/>
        <w:b w:val="0"/>
        <w:sz w:val="20"/>
      </w:rPr>
    </w:lvl>
    <w:lvl w:ilvl="2">
      <w:start w:val="1"/>
      <w:numFmt w:val="decimal"/>
      <w:lvlText w:val="%1.%2.%3."/>
      <w:lvlJc w:val="left"/>
      <w:pPr>
        <w:ind w:left="720" w:hanging="720"/>
      </w:pPr>
      <w:rPr>
        <w:rFonts w:hint="default"/>
        <w:b w:val="0"/>
        <w:sz w:val="20"/>
      </w:rPr>
    </w:lvl>
    <w:lvl w:ilvl="3">
      <w:start w:val="1"/>
      <w:numFmt w:val="decimal"/>
      <w:lvlText w:val="%1.%2.%3.%4."/>
      <w:lvlJc w:val="left"/>
      <w:pPr>
        <w:ind w:left="720" w:hanging="720"/>
      </w:pPr>
      <w:rPr>
        <w:rFonts w:hint="default"/>
        <w:b w:val="0"/>
        <w:sz w:val="20"/>
      </w:rPr>
    </w:lvl>
    <w:lvl w:ilvl="4">
      <w:start w:val="1"/>
      <w:numFmt w:val="decimal"/>
      <w:lvlText w:val="%1.%2.%3.%4.%5."/>
      <w:lvlJc w:val="left"/>
      <w:pPr>
        <w:ind w:left="1080" w:hanging="1080"/>
      </w:pPr>
      <w:rPr>
        <w:rFonts w:hint="default"/>
        <w:b w:val="0"/>
        <w:sz w:val="20"/>
      </w:rPr>
    </w:lvl>
    <w:lvl w:ilvl="5">
      <w:start w:val="1"/>
      <w:numFmt w:val="decimal"/>
      <w:lvlText w:val="%1.%2.%3.%4.%5.%6."/>
      <w:lvlJc w:val="left"/>
      <w:pPr>
        <w:ind w:left="1080" w:hanging="1080"/>
      </w:pPr>
      <w:rPr>
        <w:rFonts w:hint="default"/>
        <w:b w:val="0"/>
        <w:sz w:val="20"/>
      </w:rPr>
    </w:lvl>
    <w:lvl w:ilvl="6">
      <w:start w:val="1"/>
      <w:numFmt w:val="decimal"/>
      <w:lvlText w:val="%1.%2.%3.%4.%5.%6.%7."/>
      <w:lvlJc w:val="left"/>
      <w:pPr>
        <w:ind w:left="1080" w:hanging="1080"/>
      </w:pPr>
      <w:rPr>
        <w:rFonts w:hint="default"/>
        <w:b w:val="0"/>
        <w:sz w:val="20"/>
      </w:rPr>
    </w:lvl>
    <w:lvl w:ilvl="7">
      <w:start w:val="1"/>
      <w:numFmt w:val="decimal"/>
      <w:lvlText w:val="%1.%2.%3.%4.%5.%6.%7.%8."/>
      <w:lvlJc w:val="left"/>
      <w:pPr>
        <w:ind w:left="1440" w:hanging="1440"/>
      </w:pPr>
      <w:rPr>
        <w:rFonts w:hint="default"/>
        <w:b w:val="0"/>
        <w:sz w:val="20"/>
      </w:rPr>
    </w:lvl>
    <w:lvl w:ilvl="8">
      <w:start w:val="1"/>
      <w:numFmt w:val="decimal"/>
      <w:lvlText w:val="%1.%2.%3.%4.%5.%6.%7.%8.%9."/>
      <w:lvlJc w:val="left"/>
      <w:pPr>
        <w:ind w:left="1440" w:hanging="1440"/>
      </w:pPr>
      <w:rPr>
        <w:rFonts w:hint="default"/>
        <w:b w:val="0"/>
        <w:sz w:val="20"/>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4"/>
  </w:num>
  <w:num w:numId="14" w16cid:durableId="145903400">
    <w:abstractNumId w:val="20"/>
  </w:num>
  <w:num w:numId="15" w16cid:durableId="19162326">
    <w:abstractNumId w:val="23"/>
  </w:num>
  <w:num w:numId="16" w16cid:durableId="1977102699">
    <w:abstractNumId w:val="22"/>
  </w:num>
  <w:num w:numId="17" w16cid:durableId="860774865">
    <w:abstractNumId w:val="13"/>
  </w:num>
  <w:num w:numId="18" w16cid:durableId="313221457">
    <w:abstractNumId w:val="14"/>
    <w:lvlOverride w:ilvl="0">
      <w:startOverride w:val="1"/>
    </w:lvlOverride>
  </w:num>
  <w:num w:numId="19" w16cid:durableId="534971577">
    <w:abstractNumId w:val="18"/>
  </w:num>
  <w:num w:numId="20" w16cid:durableId="1150947773">
    <w:abstractNumId w:val="17"/>
  </w:num>
  <w:num w:numId="21" w16cid:durableId="124660497">
    <w:abstractNumId w:val="16"/>
  </w:num>
  <w:num w:numId="22" w16cid:durableId="2099861471">
    <w:abstractNumId w:val="15"/>
  </w:num>
  <w:num w:numId="23" w16cid:durableId="420682533">
    <w:abstractNumId w:val="10"/>
  </w:num>
  <w:num w:numId="24" w16cid:durableId="294337901">
    <w:abstractNumId w:val="11"/>
  </w:num>
  <w:num w:numId="25" w16cid:durableId="2013752520">
    <w:abstractNumId w:val="24"/>
  </w:num>
  <w:num w:numId="26" w16cid:durableId="214977050">
    <w:abstractNumId w:val="12"/>
  </w:num>
  <w:num w:numId="27" w16cid:durableId="318506195">
    <w:abstractNumId w:val="11"/>
  </w:num>
  <w:num w:numId="28" w16cid:durableId="620192521">
    <w:abstractNumId w:val="11"/>
  </w:num>
  <w:num w:numId="29" w16cid:durableId="142163063">
    <w:abstractNumId w:val="11"/>
  </w:num>
  <w:num w:numId="30" w16cid:durableId="269045808">
    <w:abstractNumId w:val="11"/>
  </w:num>
  <w:num w:numId="31" w16cid:durableId="851143656">
    <w:abstractNumId w:val="11"/>
  </w:num>
  <w:num w:numId="32" w16cid:durableId="1632520402">
    <w:abstractNumId w:val="11"/>
  </w:num>
  <w:num w:numId="33" w16cid:durableId="28339489">
    <w:abstractNumId w:val="11"/>
  </w:num>
  <w:num w:numId="34" w16cid:durableId="877013370">
    <w:abstractNumId w:val="11"/>
  </w:num>
  <w:num w:numId="35" w16cid:durableId="125744715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0E414A"/>
    <w:rsid w:val="000027C0"/>
    <w:rsid w:val="000052FB"/>
    <w:rsid w:val="00005A19"/>
    <w:rsid w:val="000117CB"/>
    <w:rsid w:val="000261DB"/>
    <w:rsid w:val="0003148D"/>
    <w:rsid w:val="00031EEC"/>
    <w:rsid w:val="0004360D"/>
    <w:rsid w:val="00051566"/>
    <w:rsid w:val="00054288"/>
    <w:rsid w:val="000562A9"/>
    <w:rsid w:val="00061078"/>
    <w:rsid w:val="00062A9A"/>
    <w:rsid w:val="00065058"/>
    <w:rsid w:val="00086C39"/>
    <w:rsid w:val="000A03B2"/>
    <w:rsid w:val="000D0268"/>
    <w:rsid w:val="000D34BE"/>
    <w:rsid w:val="000E102F"/>
    <w:rsid w:val="000E36F1"/>
    <w:rsid w:val="000E3A73"/>
    <w:rsid w:val="000E414A"/>
    <w:rsid w:val="000E4DC2"/>
    <w:rsid w:val="000F093C"/>
    <w:rsid w:val="000F787B"/>
    <w:rsid w:val="001043C4"/>
    <w:rsid w:val="00106560"/>
    <w:rsid w:val="00113E0F"/>
    <w:rsid w:val="0012091F"/>
    <w:rsid w:val="00126BC2"/>
    <w:rsid w:val="001308B6"/>
    <w:rsid w:val="0013121F"/>
    <w:rsid w:val="00131FE6"/>
    <w:rsid w:val="0013263F"/>
    <w:rsid w:val="001331DF"/>
    <w:rsid w:val="00134DE4"/>
    <w:rsid w:val="0014034D"/>
    <w:rsid w:val="00144D16"/>
    <w:rsid w:val="00150E59"/>
    <w:rsid w:val="00152DE3"/>
    <w:rsid w:val="00156995"/>
    <w:rsid w:val="00164CF9"/>
    <w:rsid w:val="001667A6"/>
    <w:rsid w:val="00184AD6"/>
    <w:rsid w:val="00192A78"/>
    <w:rsid w:val="00194959"/>
    <w:rsid w:val="001A4AF7"/>
    <w:rsid w:val="001B0349"/>
    <w:rsid w:val="001B03F9"/>
    <w:rsid w:val="001B1936"/>
    <w:rsid w:val="001B1E93"/>
    <w:rsid w:val="001B65C1"/>
    <w:rsid w:val="001C684B"/>
    <w:rsid w:val="001D0CFB"/>
    <w:rsid w:val="001D21AF"/>
    <w:rsid w:val="001D53FC"/>
    <w:rsid w:val="001D5858"/>
    <w:rsid w:val="001F42A5"/>
    <w:rsid w:val="001F7B9D"/>
    <w:rsid w:val="001F7F35"/>
    <w:rsid w:val="00201C93"/>
    <w:rsid w:val="002224B4"/>
    <w:rsid w:val="002447EF"/>
    <w:rsid w:val="0024767C"/>
    <w:rsid w:val="00251550"/>
    <w:rsid w:val="00260A03"/>
    <w:rsid w:val="00263B05"/>
    <w:rsid w:val="0027221A"/>
    <w:rsid w:val="00275B61"/>
    <w:rsid w:val="00280FAF"/>
    <w:rsid w:val="00282656"/>
    <w:rsid w:val="00296B83"/>
    <w:rsid w:val="002A1750"/>
    <w:rsid w:val="002B4015"/>
    <w:rsid w:val="002B78CE"/>
    <w:rsid w:val="002C2FB6"/>
    <w:rsid w:val="002D12E2"/>
    <w:rsid w:val="002E116E"/>
    <w:rsid w:val="002E5FA7"/>
    <w:rsid w:val="002F3309"/>
    <w:rsid w:val="002F712E"/>
    <w:rsid w:val="003008CE"/>
    <w:rsid w:val="003009B7"/>
    <w:rsid w:val="00300E56"/>
    <w:rsid w:val="0030152C"/>
    <w:rsid w:val="0030469C"/>
    <w:rsid w:val="00321CA6"/>
    <w:rsid w:val="00323763"/>
    <w:rsid w:val="00323C5F"/>
    <w:rsid w:val="003312AE"/>
    <w:rsid w:val="00331FCD"/>
    <w:rsid w:val="00334C09"/>
    <w:rsid w:val="00346A35"/>
    <w:rsid w:val="00351CE3"/>
    <w:rsid w:val="003723D4"/>
    <w:rsid w:val="00374F0E"/>
    <w:rsid w:val="00381905"/>
    <w:rsid w:val="00384CC8"/>
    <w:rsid w:val="003871FD"/>
    <w:rsid w:val="003A1E30"/>
    <w:rsid w:val="003A228B"/>
    <w:rsid w:val="003A2829"/>
    <w:rsid w:val="003A7D1C"/>
    <w:rsid w:val="003B304B"/>
    <w:rsid w:val="003B3146"/>
    <w:rsid w:val="003C60A6"/>
    <w:rsid w:val="003D1133"/>
    <w:rsid w:val="003F015E"/>
    <w:rsid w:val="00400414"/>
    <w:rsid w:val="00413C01"/>
    <w:rsid w:val="0041446B"/>
    <w:rsid w:val="00431D67"/>
    <w:rsid w:val="0044071E"/>
    <w:rsid w:val="0044329C"/>
    <w:rsid w:val="004446F2"/>
    <w:rsid w:val="0044597C"/>
    <w:rsid w:val="00453E24"/>
    <w:rsid w:val="00457456"/>
    <w:rsid w:val="004577FE"/>
    <w:rsid w:val="00457B9C"/>
    <w:rsid w:val="0046164A"/>
    <w:rsid w:val="004628D2"/>
    <w:rsid w:val="00462DCD"/>
    <w:rsid w:val="004648AD"/>
    <w:rsid w:val="004703A9"/>
    <w:rsid w:val="004760DE"/>
    <w:rsid w:val="004763D7"/>
    <w:rsid w:val="004803C3"/>
    <w:rsid w:val="004A004E"/>
    <w:rsid w:val="004A24CF"/>
    <w:rsid w:val="004A6F03"/>
    <w:rsid w:val="004B6CD1"/>
    <w:rsid w:val="004C3D1D"/>
    <w:rsid w:val="004C3D84"/>
    <w:rsid w:val="004C7913"/>
    <w:rsid w:val="004D482F"/>
    <w:rsid w:val="004E4DD6"/>
    <w:rsid w:val="004F5E36"/>
    <w:rsid w:val="00507B47"/>
    <w:rsid w:val="00507BEF"/>
    <w:rsid w:val="00507CC9"/>
    <w:rsid w:val="005119A5"/>
    <w:rsid w:val="005278B7"/>
    <w:rsid w:val="00532016"/>
    <w:rsid w:val="005346C8"/>
    <w:rsid w:val="00543E7D"/>
    <w:rsid w:val="00547A68"/>
    <w:rsid w:val="0055101C"/>
    <w:rsid w:val="005531C9"/>
    <w:rsid w:val="00557E00"/>
    <w:rsid w:val="00570C43"/>
    <w:rsid w:val="00593C8C"/>
    <w:rsid w:val="005B2110"/>
    <w:rsid w:val="005B61E6"/>
    <w:rsid w:val="005C77E1"/>
    <w:rsid w:val="005D668A"/>
    <w:rsid w:val="005D6A2F"/>
    <w:rsid w:val="005E0818"/>
    <w:rsid w:val="005E1A82"/>
    <w:rsid w:val="005E72C6"/>
    <w:rsid w:val="005E794C"/>
    <w:rsid w:val="005F0A28"/>
    <w:rsid w:val="005F0A9A"/>
    <w:rsid w:val="005F0E5E"/>
    <w:rsid w:val="00600535"/>
    <w:rsid w:val="00610CD6"/>
    <w:rsid w:val="00620DEE"/>
    <w:rsid w:val="00621F92"/>
    <w:rsid w:val="0062280A"/>
    <w:rsid w:val="00625639"/>
    <w:rsid w:val="00631B33"/>
    <w:rsid w:val="0064184D"/>
    <w:rsid w:val="006422CC"/>
    <w:rsid w:val="00660E3E"/>
    <w:rsid w:val="00662E74"/>
    <w:rsid w:val="00663729"/>
    <w:rsid w:val="006764F9"/>
    <w:rsid w:val="00680C23"/>
    <w:rsid w:val="00681460"/>
    <w:rsid w:val="006869FA"/>
    <w:rsid w:val="00693766"/>
    <w:rsid w:val="006A3281"/>
    <w:rsid w:val="006A4E07"/>
    <w:rsid w:val="006A7A38"/>
    <w:rsid w:val="006B4888"/>
    <w:rsid w:val="006C2E45"/>
    <w:rsid w:val="006C359C"/>
    <w:rsid w:val="006C5579"/>
    <w:rsid w:val="006C720A"/>
    <w:rsid w:val="006D6E8B"/>
    <w:rsid w:val="006E737D"/>
    <w:rsid w:val="007018F0"/>
    <w:rsid w:val="00707DD1"/>
    <w:rsid w:val="00713973"/>
    <w:rsid w:val="00720A24"/>
    <w:rsid w:val="00732386"/>
    <w:rsid w:val="0073514D"/>
    <w:rsid w:val="007447F3"/>
    <w:rsid w:val="0075499F"/>
    <w:rsid w:val="0075554E"/>
    <w:rsid w:val="007661C8"/>
    <w:rsid w:val="0077098D"/>
    <w:rsid w:val="00784CAC"/>
    <w:rsid w:val="00792E04"/>
    <w:rsid w:val="007931FA"/>
    <w:rsid w:val="007A4861"/>
    <w:rsid w:val="007A7BBA"/>
    <w:rsid w:val="007B0C50"/>
    <w:rsid w:val="007B48F9"/>
    <w:rsid w:val="007C1A43"/>
    <w:rsid w:val="007D0951"/>
    <w:rsid w:val="007F4A42"/>
    <w:rsid w:val="0080013E"/>
    <w:rsid w:val="00803FDE"/>
    <w:rsid w:val="008078FA"/>
    <w:rsid w:val="00813288"/>
    <w:rsid w:val="008168FC"/>
    <w:rsid w:val="00830996"/>
    <w:rsid w:val="008345F1"/>
    <w:rsid w:val="00841F9E"/>
    <w:rsid w:val="00864C7E"/>
    <w:rsid w:val="00865B07"/>
    <w:rsid w:val="008667EA"/>
    <w:rsid w:val="0087637F"/>
    <w:rsid w:val="00892AD5"/>
    <w:rsid w:val="00892E6F"/>
    <w:rsid w:val="008A1512"/>
    <w:rsid w:val="008C7456"/>
    <w:rsid w:val="008D32B9"/>
    <w:rsid w:val="008D433B"/>
    <w:rsid w:val="008D4A16"/>
    <w:rsid w:val="008E566E"/>
    <w:rsid w:val="008E58F7"/>
    <w:rsid w:val="0090017F"/>
    <w:rsid w:val="0090161A"/>
    <w:rsid w:val="00901EB6"/>
    <w:rsid w:val="00904C62"/>
    <w:rsid w:val="00922BA8"/>
    <w:rsid w:val="00924DAC"/>
    <w:rsid w:val="00927058"/>
    <w:rsid w:val="00942750"/>
    <w:rsid w:val="009450CE"/>
    <w:rsid w:val="009459BB"/>
    <w:rsid w:val="00947179"/>
    <w:rsid w:val="0095164B"/>
    <w:rsid w:val="00954090"/>
    <w:rsid w:val="00954756"/>
    <w:rsid w:val="009573E7"/>
    <w:rsid w:val="00963E05"/>
    <w:rsid w:val="00964A45"/>
    <w:rsid w:val="00967843"/>
    <w:rsid w:val="00967D54"/>
    <w:rsid w:val="00971028"/>
    <w:rsid w:val="00971A5C"/>
    <w:rsid w:val="00993B84"/>
    <w:rsid w:val="009940E9"/>
    <w:rsid w:val="00996483"/>
    <w:rsid w:val="00996F5A"/>
    <w:rsid w:val="009A5E52"/>
    <w:rsid w:val="009B041A"/>
    <w:rsid w:val="009B18DF"/>
    <w:rsid w:val="009C37C3"/>
    <w:rsid w:val="009C7C86"/>
    <w:rsid w:val="009D2FF7"/>
    <w:rsid w:val="009E7884"/>
    <w:rsid w:val="009E788A"/>
    <w:rsid w:val="009F0E08"/>
    <w:rsid w:val="009F1E4F"/>
    <w:rsid w:val="00A0035F"/>
    <w:rsid w:val="00A1763D"/>
    <w:rsid w:val="00A17CEC"/>
    <w:rsid w:val="00A27EF0"/>
    <w:rsid w:val="00A42361"/>
    <w:rsid w:val="00A50B20"/>
    <w:rsid w:val="00A51390"/>
    <w:rsid w:val="00A60D13"/>
    <w:rsid w:val="00A714EF"/>
    <w:rsid w:val="00A7223D"/>
    <w:rsid w:val="00A72272"/>
    <w:rsid w:val="00A72745"/>
    <w:rsid w:val="00A76EC9"/>
    <w:rsid w:val="00A76EFC"/>
    <w:rsid w:val="00A87D50"/>
    <w:rsid w:val="00A91010"/>
    <w:rsid w:val="00A9698A"/>
    <w:rsid w:val="00A97F29"/>
    <w:rsid w:val="00AA702E"/>
    <w:rsid w:val="00AA7D26"/>
    <w:rsid w:val="00AB0964"/>
    <w:rsid w:val="00AB5011"/>
    <w:rsid w:val="00AC7368"/>
    <w:rsid w:val="00AD16B9"/>
    <w:rsid w:val="00AE377D"/>
    <w:rsid w:val="00AF0EBA"/>
    <w:rsid w:val="00AF46C8"/>
    <w:rsid w:val="00B024F7"/>
    <w:rsid w:val="00B02C8A"/>
    <w:rsid w:val="00B17FBD"/>
    <w:rsid w:val="00B21D4B"/>
    <w:rsid w:val="00B264BC"/>
    <w:rsid w:val="00B315A6"/>
    <w:rsid w:val="00B31813"/>
    <w:rsid w:val="00B33365"/>
    <w:rsid w:val="00B57B36"/>
    <w:rsid w:val="00B57E6F"/>
    <w:rsid w:val="00B66B2E"/>
    <w:rsid w:val="00B805CA"/>
    <w:rsid w:val="00B8686D"/>
    <w:rsid w:val="00B93F69"/>
    <w:rsid w:val="00B9673F"/>
    <w:rsid w:val="00BA504E"/>
    <w:rsid w:val="00BB1DDC"/>
    <w:rsid w:val="00BC30C9"/>
    <w:rsid w:val="00BD077D"/>
    <w:rsid w:val="00BE3E58"/>
    <w:rsid w:val="00BE6E64"/>
    <w:rsid w:val="00C01616"/>
    <w:rsid w:val="00C0162B"/>
    <w:rsid w:val="00C04476"/>
    <w:rsid w:val="00C068ED"/>
    <w:rsid w:val="00C22E0C"/>
    <w:rsid w:val="00C24AF1"/>
    <w:rsid w:val="00C33F53"/>
    <w:rsid w:val="00C345B1"/>
    <w:rsid w:val="00C40142"/>
    <w:rsid w:val="00C52C3C"/>
    <w:rsid w:val="00C57182"/>
    <w:rsid w:val="00C57863"/>
    <w:rsid w:val="00C5790A"/>
    <w:rsid w:val="00C6098D"/>
    <w:rsid w:val="00C62D4F"/>
    <w:rsid w:val="00C640AF"/>
    <w:rsid w:val="00C655FD"/>
    <w:rsid w:val="00C75407"/>
    <w:rsid w:val="00C7743D"/>
    <w:rsid w:val="00C841C6"/>
    <w:rsid w:val="00C870A8"/>
    <w:rsid w:val="00C94434"/>
    <w:rsid w:val="00CA0D75"/>
    <w:rsid w:val="00CA1C95"/>
    <w:rsid w:val="00CA5A9C"/>
    <w:rsid w:val="00CC4C20"/>
    <w:rsid w:val="00CC702D"/>
    <w:rsid w:val="00CD3517"/>
    <w:rsid w:val="00CD5FE2"/>
    <w:rsid w:val="00CE4CBC"/>
    <w:rsid w:val="00CE7C68"/>
    <w:rsid w:val="00D02B4C"/>
    <w:rsid w:val="00D040C4"/>
    <w:rsid w:val="00D20AD1"/>
    <w:rsid w:val="00D23E41"/>
    <w:rsid w:val="00D2582C"/>
    <w:rsid w:val="00D36DEA"/>
    <w:rsid w:val="00D46B7E"/>
    <w:rsid w:val="00D55A98"/>
    <w:rsid w:val="00D57C84"/>
    <w:rsid w:val="00D6057D"/>
    <w:rsid w:val="00D67A08"/>
    <w:rsid w:val="00D71640"/>
    <w:rsid w:val="00D72172"/>
    <w:rsid w:val="00D83423"/>
    <w:rsid w:val="00D836C5"/>
    <w:rsid w:val="00D84576"/>
    <w:rsid w:val="00D9107E"/>
    <w:rsid w:val="00D95E7D"/>
    <w:rsid w:val="00DA1399"/>
    <w:rsid w:val="00DA2063"/>
    <w:rsid w:val="00DA24C6"/>
    <w:rsid w:val="00DA4D7B"/>
    <w:rsid w:val="00DD271C"/>
    <w:rsid w:val="00DD4800"/>
    <w:rsid w:val="00DE264A"/>
    <w:rsid w:val="00DF5072"/>
    <w:rsid w:val="00E02D18"/>
    <w:rsid w:val="00E041E7"/>
    <w:rsid w:val="00E06EA1"/>
    <w:rsid w:val="00E23CA1"/>
    <w:rsid w:val="00E316F8"/>
    <w:rsid w:val="00E33FF6"/>
    <w:rsid w:val="00E409A8"/>
    <w:rsid w:val="00E45375"/>
    <w:rsid w:val="00E50C12"/>
    <w:rsid w:val="00E65B91"/>
    <w:rsid w:val="00E7209D"/>
    <w:rsid w:val="00E72EAD"/>
    <w:rsid w:val="00E74868"/>
    <w:rsid w:val="00E77223"/>
    <w:rsid w:val="00E8528B"/>
    <w:rsid w:val="00E85B94"/>
    <w:rsid w:val="00E96501"/>
    <w:rsid w:val="00E978D0"/>
    <w:rsid w:val="00EA158F"/>
    <w:rsid w:val="00EA2E4B"/>
    <w:rsid w:val="00EA4613"/>
    <w:rsid w:val="00EA7F91"/>
    <w:rsid w:val="00EB1523"/>
    <w:rsid w:val="00EC0E49"/>
    <w:rsid w:val="00EC101F"/>
    <w:rsid w:val="00EC1D9F"/>
    <w:rsid w:val="00EE0131"/>
    <w:rsid w:val="00EE17B0"/>
    <w:rsid w:val="00EF06D9"/>
    <w:rsid w:val="00EF0D01"/>
    <w:rsid w:val="00F11066"/>
    <w:rsid w:val="00F13824"/>
    <w:rsid w:val="00F3046C"/>
    <w:rsid w:val="00F3049E"/>
    <w:rsid w:val="00F30C64"/>
    <w:rsid w:val="00F32BA2"/>
    <w:rsid w:val="00F32CDB"/>
    <w:rsid w:val="00F354D9"/>
    <w:rsid w:val="00F46F91"/>
    <w:rsid w:val="00F565FE"/>
    <w:rsid w:val="00F63A70"/>
    <w:rsid w:val="00F63D8C"/>
    <w:rsid w:val="00F6647F"/>
    <w:rsid w:val="00F66807"/>
    <w:rsid w:val="00F7534E"/>
    <w:rsid w:val="00F93EDF"/>
    <w:rsid w:val="00FA1802"/>
    <w:rsid w:val="00FA21D0"/>
    <w:rsid w:val="00FA5F5F"/>
    <w:rsid w:val="00FB730C"/>
    <w:rsid w:val="00FC2695"/>
    <w:rsid w:val="00FC3E03"/>
    <w:rsid w:val="00FC3FC1"/>
    <w:rsid w:val="00FD192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113E0F"/>
    <w:pPr>
      <w:keepNext/>
      <w:suppressAutoHyphens/>
      <w:spacing w:before="120" w:after="120" w:line="240" w:lineRule="auto"/>
      <w:jc w:val="both"/>
    </w:pPr>
    <w:rPr>
      <w:rFonts w:ascii="Arial" w:eastAsia="Times New Roman" w:hAnsi="Arial" w:cs="Times New Roman"/>
      <w:bCs/>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113E0F"/>
    <w:rPr>
      <w:rFonts w:ascii="Arial" w:eastAsia="Times New Roman" w:hAnsi="Arial" w:cs="Times New Roman"/>
      <w:bCs/>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val="0"/>
      <w:bCs/>
      <w:sz w:val="18"/>
      <w:szCs w:val="20"/>
      <w:lang w:val="en-US"/>
    </w:rPr>
  </w:style>
  <w:style w:type="paragraph" w:styleId="ListParagraph">
    <w:name w:val="List Paragraph"/>
    <w:basedOn w:val="Normal"/>
    <w:uiPriority w:val="34"/>
    <w:qFormat/>
    <w:rsid w:val="00280FAF"/>
    <w:pPr>
      <w:ind w:left="720"/>
      <w:contextualSpacing/>
    </w:pPr>
  </w:style>
  <w:style w:type="character" w:customStyle="1" w:styleId="gmail-apple-converted-space">
    <w:name w:val="gmail-apple-converted-space"/>
    <w:basedOn w:val="DefaultParagraphFont"/>
    <w:rsid w:val="00005A19"/>
  </w:style>
  <w:style w:type="paragraph" w:customStyle="1" w:styleId="EndNoteBibliographyTitle">
    <w:name w:val="EndNote Bibliography Title"/>
    <w:basedOn w:val="Normal"/>
    <w:link w:val="EndNoteBibliographyTitleCarter"/>
    <w:rsid w:val="009B18DF"/>
    <w:pPr>
      <w:jc w:val="center"/>
    </w:pPr>
    <w:rPr>
      <w:rFonts w:cs="Arial"/>
      <w:noProof/>
      <w:sz w:val="20"/>
      <w:lang w:val="en-US"/>
    </w:rPr>
  </w:style>
  <w:style w:type="character" w:customStyle="1" w:styleId="EndNoteBibliographyTitleCarter">
    <w:name w:val="EndNote Bibliography Title Caráter"/>
    <w:basedOn w:val="CETBodytextCarattere"/>
    <w:link w:val="EndNoteBibliographyTitle"/>
    <w:rsid w:val="009B18DF"/>
    <w:rPr>
      <w:rFonts w:ascii="Arial" w:eastAsia="Times New Roman" w:hAnsi="Arial" w:cs="Arial"/>
      <w:noProof/>
      <w:sz w:val="20"/>
      <w:szCs w:val="20"/>
      <w:lang w:val="en-US"/>
    </w:rPr>
  </w:style>
  <w:style w:type="paragraph" w:customStyle="1" w:styleId="EndNoteBibliography">
    <w:name w:val="EndNote Bibliography"/>
    <w:basedOn w:val="Normal"/>
    <w:link w:val="EndNoteBibliographyCarter"/>
    <w:rsid w:val="009B18DF"/>
    <w:pPr>
      <w:spacing w:line="240" w:lineRule="auto"/>
      <w:jc w:val="left"/>
    </w:pPr>
    <w:rPr>
      <w:rFonts w:cs="Arial"/>
      <w:noProof/>
      <w:sz w:val="20"/>
      <w:lang w:val="en-US"/>
    </w:rPr>
  </w:style>
  <w:style w:type="character" w:customStyle="1" w:styleId="EndNoteBibliographyCarter">
    <w:name w:val="EndNote Bibliography Caráter"/>
    <w:basedOn w:val="CETBodytextCarattere"/>
    <w:link w:val="EndNoteBibliography"/>
    <w:rsid w:val="009B18DF"/>
    <w:rPr>
      <w:rFonts w:ascii="Arial" w:eastAsia="Times New Roman" w:hAnsi="Arial" w:cs="Arial"/>
      <w:noProof/>
      <w:sz w:val="20"/>
      <w:szCs w:val="20"/>
      <w:lang w:val="en-US"/>
    </w:rPr>
  </w:style>
  <w:style w:type="character" w:styleId="UnresolvedMention">
    <w:name w:val="Unresolved Mention"/>
    <w:basedOn w:val="DefaultParagraphFont"/>
    <w:uiPriority w:val="99"/>
    <w:semiHidden/>
    <w:unhideWhenUsed/>
    <w:rsid w:val="009B18DF"/>
    <w:rPr>
      <w:color w:val="605E5C"/>
      <w:shd w:val="clear" w:color="auto" w:fill="E1DFDD"/>
    </w:rPr>
  </w:style>
  <w:style w:type="table" w:styleId="PlainTable2">
    <w:name w:val="Plain Table 2"/>
    <w:basedOn w:val="TableNormal"/>
    <w:uiPriority w:val="42"/>
    <w:rsid w:val="00954756"/>
    <w:pPr>
      <w:spacing w:after="0" w:line="240" w:lineRule="auto"/>
    </w:pPr>
    <w:rPr>
      <w:lang w:val="pt-P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9266409">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84894">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fabrizio.sarghini@unina.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korpion\Documents\EFF2025\Cofe_Water%20reference%20for%20Circular%20cell.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050" b="1"/>
              <a:t> 1% NaCl 60V RMS 50Hz</a:t>
            </a:r>
          </a:p>
        </c:rich>
      </c:tx>
      <c:layout>
        <c:manualLayout>
          <c:xMode val="edge"/>
          <c:yMode val="edge"/>
          <c:x val="0.30899508901003664"/>
          <c:y val="1.506024096385542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17883848329123786"/>
          <c:y val="0.10101943205894443"/>
          <c:w val="0.76062652499354377"/>
          <c:h val="0.80440953304267793"/>
        </c:manualLayout>
      </c:layout>
      <c:scatterChart>
        <c:scatterStyle val="lineMarker"/>
        <c:varyColors val="0"/>
        <c:ser>
          <c:idx val="1"/>
          <c:order val="0"/>
          <c:tx>
            <c:v>EXP</c:v>
          </c:tx>
          <c:spPr>
            <a:ln w="19050" cap="rnd">
              <a:solidFill>
                <a:schemeClr val="tx1"/>
              </a:solidFill>
              <a:round/>
            </a:ln>
            <a:effectLst/>
          </c:spPr>
          <c:marker>
            <c:symbol val="triangle"/>
            <c:size val="5"/>
            <c:spPr>
              <a:solidFill>
                <a:schemeClr val="accent2"/>
              </a:solidFill>
              <a:ln w="9525">
                <a:solidFill>
                  <a:schemeClr val="accent2"/>
                </a:solidFill>
              </a:ln>
              <a:effectLst/>
            </c:spPr>
          </c:marker>
          <c:xVal>
            <c:numRef>
              <c:f>'1%_salt_60V'!$B$11:$B$27</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xVal>
          <c:yVal>
            <c:numRef>
              <c:f>'1%_salt_60V'!$P$11:$P$27</c:f>
              <c:numCache>
                <c:formatCode>0.00</c:formatCode>
                <c:ptCount val="17"/>
                <c:pt idx="0">
                  <c:v>24.070000000000505</c:v>
                </c:pt>
                <c:pt idx="1">
                  <c:v>24.392214956452015</c:v>
                </c:pt>
                <c:pt idx="2">
                  <c:v>24.729736791273524</c:v>
                </c:pt>
                <c:pt idx="3">
                  <c:v>25.067272857826005</c:v>
                </c:pt>
                <c:pt idx="4">
                  <c:v>25.414823159632505</c:v>
                </c:pt>
                <c:pt idx="5">
                  <c:v>25.767387700217022</c:v>
                </c:pt>
                <c:pt idx="6">
                  <c:v>26.119966483104506</c:v>
                </c:pt>
                <c:pt idx="7">
                  <c:v>26.507559511822514</c:v>
                </c:pt>
                <c:pt idx="8">
                  <c:v>26.855166789900011</c:v>
                </c:pt>
                <c:pt idx="9">
                  <c:v>27.212781587328003</c:v>
                </c:pt>
                <c:pt idx="10">
                  <c:v>27.585396390343</c:v>
                </c:pt>
                <c:pt idx="11">
                  <c:v>27.958011193358505</c:v>
                </c:pt>
                <c:pt idx="12">
                  <c:v>28.335625996374013</c:v>
                </c:pt>
                <c:pt idx="13">
                  <c:v>28.710000000000008</c:v>
                </c:pt>
                <c:pt idx="14">
                  <c:v>29.080000000000013</c:v>
                </c:pt>
                <c:pt idx="15">
                  <c:v>29.5</c:v>
                </c:pt>
                <c:pt idx="16">
                  <c:v>29.78</c:v>
                </c:pt>
              </c:numCache>
            </c:numRef>
          </c:yVal>
          <c:smooth val="0"/>
          <c:extLst>
            <c:ext xmlns:c16="http://schemas.microsoft.com/office/drawing/2014/chart" uri="{C3380CC4-5D6E-409C-BE32-E72D297353CC}">
              <c16:uniqueId val="{00000000-230E-4D33-8001-FCA90926DD37}"/>
            </c:ext>
          </c:extLst>
        </c:ser>
        <c:ser>
          <c:idx val="0"/>
          <c:order val="1"/>
          <c:tx>
            <c:v>Unsteady DoP Dt1</c:v>
          </c:tx>
          <c:spPr>
            <a:ln w="25400" cap="rnd">
              <a:noFill/>
              <a:round/>
            </a:ln>
            <a:effectLst/>
          </c:spPr>
          <c:marker>
            <c:symbol val="circle"/>
            <c:size val="5"/>
            <c:spPr>
              <a:solidFill>
                <a:schemeClr val="accent1"/>
              </a:solidFill>
              <a:ln w="9525">
                <a:solidFill>
                  <a:schemeClr val="accent1"/>
                </a:solidFill>
              </a:ln>
              <a:effectLst/>
            </c:spPr>
          </c:marker>
          <c:xVal>
            <c:numRef>
              <c:f>'1%_salt_60V'!$B$11:$B$27</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xVal>
          <c:yVal>
            <c:numRef>
              <c:f>'1%_salt_60V'!$G$11:$G$27</c:f>
              <c:numCache>
                <c:formatCode>0.00</c:formatCode>
                <c:ptCount val="17"/>
                <c:pt idx="0">
                  <c:v>24.080000000001007</c:v>
                </c:pt>
                <c:pt idx="1">
                  <c:v>24.424429912904031</c:v>
                </c:pt>
                <c:pt idx="2">
                  <c:v>24.76947358254705</c:v>
                </c:pt>
                <c:pt idx="3">
                  <c:v>25.114545715652014</c:v>
                </c:pt>
                <c:pt idx="4">
                  <c:v>25.459646319265005</c:v>
                </c:pt>
                <c:pt idx="5">
                  <c:v>25.804775400434039</c:v>
                </c:pt>
                <c:pt idx="6">
                  <c:v>26.149932966209008</c:v>
                </c:pt>
                <c:pt idx="7">
                  <c:v>26.495119023645032</c:v>
                </c:pt>
                <c:pt idx="8">
                  <c:v>26.840333579800017</c:v>
                </c:pt>
                <c:pt idx="9">
                  <c:v>27.185563174656011</c:v>
                </c:pt>
                <c:pt idx="10">
                  <c:v>27.530792780685999</c:v>
                </c:pt>
                <c:pt idx="11">
                  <c:v>27.876022386717011</c:v>
                </c:pt>
                <c:pt idx="12">
                  <c:v>28.221251992748023</c:v>
                </c:pt>
                <c:pt idx="13">
                  <c:v>28.550000000000011</c:v>
                </c:pt>
                <c:pt idx="14">
                  <c:v>28.850000000000023</c:v>
                </c:pt>
                <c:pt idx="15">
                  <c:v>29.300000000000011</c:v>
                </c:pt>
                <c:pt idx="16">
                  <c:v>29.75</c:v>
                </c:pt>
              </c:numCache>
            </c:numRef>
          </c:yVal>
          <c:smooth val="0"/>
          <c:extLst>
            <c:ext xmlns:c16="http://schemas.microsoft.com/office/drawing/2014/chart" uri="{C3380CC4-5D6E-409C-BE32-E72D297353CC}">
              <c16:uniqueId val="{00000001-230E-4D33-8001-FCA90926DD37}"/>
            </c:ext>
          </c:extLst>
        </c:ser>
        <c:ser>
          <c:idx val="2"/>
          <c:order val="2"/>
          <c:tx>
            <c:v>Steady DoP</c:v>
          </c:tx>
          <c:spPr>
            <a:ln w="25400" cap="rnd">
              <a:noFill/>
              <a:round/>
            </a:ln>
            <a:effectLst/>
          </c:spPr>
          <c:marker>
            <c:symbol val="circle"/>
            <c:size val="5"/>
            <c:spPr>
              <a:solidFill>
                <a:schemeClr val="accent3"/>
              </a:solidFill>
              <a:ln w="9525">
                <a:solidFill>
                  <a:schemeClr val="accent3"/>
                </a:solidFill>
              </a:ln>
              <a:effectLst/>
            </c:spPr>
          </c:marker>
          <c:xVal>
            <c:numRef>
              <c:f>'1%_salt_60V'!$B$11:$B$27</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xVal>
          <c:yVal>
            <c:numRef>
              <c:f>'1%_salt_60V'!$I$11:$I$27</c:f>
              <c:numCache>
                <c:formatCode>0.00</c:formatCode>
                <c:ptCount val="17"/>
                <c:pt idx="0">
                  <c:v>24.080000000000041</c:v>
                </c:pt>
                <c:pt idx="1">
                  <c:v>24.766608401358042</c:v>
                </c:pt>
                <c:pt idx="2">
                  <c:v>25.456780665267047</c:v>
                </c:pt>
                <c:pt idx="3">
                  <c:v>26.147066839169042</c:v>
                </c:pt>
                <c:pt idx="4">
                  <c:v>26.837466979482997</c:v>
                </c:pt>
                <c:pt idx="5">
                  <c:v>27.52792617275901</c:v>
                </c:pt>
                <c:pt idx="6">
                  <c:v>28.21838538482001</c:v>
                </c:pt>
                <c:pt idx="7">
                  <c:v>28.908844596881011</c:v>
                </c:pt>
                <c:pt idx="8">
                  <c:v>29.599303808942011</c:v>
                </c:pt>
                <c:pt idx="9">
                  <c:v>30.289763021004035</c:v>
                </c:pt>
                <c:pt idx="10">
                  <c:v>30.980222233065035</c:v>
                </c:pt>
                <c:pt idx="11">
                  <c:v>31.670681445125012</c:v>
                </c:pt>
                <c:pt idx="12">
                  <c:v>32.361140657187036</c:v>
                </c:pt>
                <c:pt idx="13">
                  <c:v>33.051599869247013</c:v>
                </c:pt>
                <c:pt idx="14">
                  <c:v>33.742059081308014</c:v>
                </c:pt>
                <c:pt idx="15">
                  <c:v>34.432518293369014</c:v>
                </c:pt>
                <c:pt idx="16">
                  <c:v>35.122977505430015</c:v>
                </c:pt>
              </c:numCache>
            </c:numRef>
          </c:yVal>
          <c:smooth val="0"/>
          <c:extLst>
            <c:ext xmlns:c16="http://schemas.microsoft.com/office/drawing/2014/chart" uri="{C3380CC4-5D6E-409C-BE32-E72D297353CC}">
              <c16:uniqueId val="{00000002-230E-4D33-8001-FCA90926DD37}"/>
            </c:ext>
          </c:extLst>
        </c:ser>
        <c:ser>
          <c:idx val="3"/>
          <c:order val="3"/>
          <c:tx>
            <c:v>Assigned I flux</c:v>
          </c:tx>
          <c:spPr>
            <a:ln w="25400" cap="rnd">
              <a:noFill/>
              <a:round/>
            </a:ln>
            <a:effectLst/>
          </c:spPr>
          <c:marker>
            <c:symbol val="x"/>
            <c:size val="5"/>
            <c:spPr>
              <a:solidFill>
                <a:schemeClr val="accent4"/>
              </a:solidFill>
              <a:ln w="9525">
                <a:solidFill>
                  <a:schemeClr val="accent4"/>
                </a:solidFill>
              </a:ln>
              <a:effectLst/>
            </c:spPr>
          </c:marker>
          <c:xVal>
            <c:numRef>
              <c:f>'1%_salt_60V'!$B$11:$B$27</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xVal>
          <c:yVal>
            <c:numRef>
              <c:f>'1%_salt_60V'!$K$11:$K$27</c:f>
              <c:numCache>
                <c:formatCode>0.00</c:formatCode>
                <c:ptCount val="17"/>
                <c:pt idx="0">
                  <c:v>24.080000000001007</c:v>
                </c:pt>
                <c:pt idx="1">
                  <c:v>24.205908531919022</c:v>
                </c:pt>
                <c:pt idx="2">
                  <c:v>24.332456678864048</c:v>
                </c:pt>
                <c:pt idx="3">
                  <c:v>24.459011724961044</c:v>
                </c:pt>
                <c:pt idx="4">
                  <c:v>24.58557367204503</c:v>
                </c:pt>
                <c:pt idx="5">
                  <c:v>24.712142510866045</c:v>
                </c:pt>
                <c:pt idx="6">
                  <c:v>24.838718229205995</c:v>
                </c:pt>
                <c:pt idx="7">
                  <c:v>24.965300816316017</c:v>
                </c:pt>
                <c:pt idx="8">
                  <c:v>25.091890221686015</c:v>
                </c:pt>
                <c:pt idx="9">
                  <c:v>25.218485330214037</c:v>
                </c:pt>
                <c:pt idx="10">
                  <c:v>25.345084590889996</c:v>
                </c:pt>
                <c:pt idx="11">
                  <c:v>25.471687007878018</c:v>
                </c:pt>
                <c:pt idx="12">
                  <c:v>25.598291896563012</c:v>
                </c:pt>
                <c:pt idx="13">
                  <c:v>25.724898756787013</c:v>
                </c:pt>
                <c:pt idx="14">
                  <c:v>25.851507213892035</c:v>
                </c:pt>
                <c:pt idx="15">
                  <c:v>25.978116988833051</c:v>
                </c:pt>
                <c:pt idx="16">
                  <c:v>26.104727879168024</c:v>
                </c:pt>
              </c:numCache>
            </c:numRef>
          </c:yVal>
          <c:smooth val="0"/>
          <c:extLst>
            <c:ext xmlns:c16="http://schemas.microsoft.com/office/drawing/2014/chart" uri="{C3380CC4-5D6E-409C-BE32-E72D297353CC}">
              <c16:uniqueId val="{00000003-230E-4D33-8001-FCA90926DD37}"/>
            </c:ext>
          </c:extLst>
        </c:ser>
        <c:ser>
          <c:idx val="4"/>
          <c:order val="4"/>
          <c:tx>
            <c:v>Unsteady DoP Dt2</c:v>
          </c:tx>
          <c:spPr>
            <a:ln w="25400" cap="rnd">
              <a:solidFill>
                <a:schemeClr val="tx1"/>
              </a:solidFill>
              <a:prstDash val="dash"/>
              <a:round/>
            </a:ln>
            <a:effectLst/>
          </c:spPr>
          <c:marker>
            <c:symbol val="x"/>
            <c:size val="5"/>
            <c:spPr>
              <a:solidFill>
                <a:schemeClr val="accent5"/>
              </a:solidFill>
              <a:ln w="9525">
                <a:solidFill>
                  <a:srgbClr val="FFFF00"/>
                </a:solidFill>
              </a:ln>
              <a:effectLst/>
            </c:spPr>
          </c:marker>
          <c:xVal>
            <c:numRef>
              <c:f>'1%_salt_60V'!$B$11:$B$27</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xVal>
          <c:yVal>
            <c:numRef>
              <c:f>'1%_salt_60V'!$Y$11:$Y$27</c:f>
              <c:numCache>
                <c:formatCode>General</c:formatCode>
                <c:ptCount val="17"/>
                <c:pt idx="0">
                  <c:v>24.06</c:v>
                </c:pt>
                <c:pt idx="1">
                  <c:v>24.420000000000016</c:v>
                </c:pt>
                <c:pt idx="2">
                  <c:v>24.770000000000039</c:v>
                </c:pt>
                <c:pt idx="3">
                  <c:v>25.110000000000014</c:v>
                </c:pt>
                <c:pt idx="4">
                  <c:v>25.460198562177027</c:v>
                </c:pt>
                <c:pt idx="5">
                  <c:v>25.805327688919022</c:v>
                </c:pt>
                <c:pt idx="6">
                  <c:v>26.150485300281048</c:v>
                </c:pt>
                <c:pt idx="7">
                  <c:v>26.495671403315043</c:v>
                </c:pt>
                <c:pt idx="8">
                  <c:v>26.840886005077039</c:v>
                </c:pt>
                <c:pt idx="9">
                  <c:v>27.186115601173015</c:v>
                </c:pt>
                <c:pt idx="10">
                  <c:v>27.531345207204026</c:v>
                </c:pt>
                <c:pt idx="11">
                  <c:v>27.876574813235038</c:v>
                </c:pt>
                <c:pt idx="12">
                  <c:v>28.221804419264004</c:v>
                </c:pt>
                <c:pt idx="13">
                  <c:v>28.567034025295015</c:v>
                </c:pt>
                <c:pt idx="14">
                  <c:v>28.912263631325004</c:v>
                </c:pt>
                <c:pt idx="15">
                  <c:v>29.25749323735505</c:v>
                </c:pt>
                <c:pt idx="16">
                  <c:v>29.602722843386005</c:v>
                </c:pt>
              </c:numCache>
            </c:numRef>
          </c:yVal>
          <c:smooth val="0"/>
          <c:extLst>
            <c:ext xmlns:c16="http://schemas.microsoft.com/office/drawing/2014/chart" uri="{C3380CC4-5D6E-409C-BE32-E72D297353CC}">
              <c16:uniqueId val="{00000004-230E-4D33-8001-FCA90926DD37}"/>
            </c:ext>
          </c:extLst>
        </c:ser>
        <c:ser>
          <c:idx val="6"/>
          <c:order val="5"/>
          <c:tx>
            <c:v>Unsteady Dop Dt3</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'1%_salt_60V'!$B$11:$B$27</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xVal>
          <c:yVal>
            <c:numRef>
              <c:f>'1%_salt_60V'!$N$11:$N$27</c:f>
              <c:numCache>
                <c:formatCode>General</c:formatCode>
                <c:ptCount val="17"/>
                <c:pt idx="1">
                  <c:v>24.425138472520018</c:v>
                </c:pt>
                <c:pt idx="2">
                  <c:v>24.770182200608019</c:v>
                </c:pt>
                <c:pt idx="3">
                  <c:v>25.115254392172005</c:v>
                </c:pt>
                <c:pt idx="4">
                  <c:v>25.460355054258002</c:v>
                </c:pt>
                <c:pt idx="5">
                  <c:v>25.805484193916016</c:v>
                </c:pt>
                <c:pt idx="6">
                  <c:v>26.150485300281048</c:v>
                </c:pt>
                <c:pt idx="7">
                  <c:v>26.495671403315043</c:v>
                </c:pt>
                <c:pt idx="8">
                  <c:v>26.840886005077039</c:v>
                </c:pt>
                <c:pt idx="9">
                  <c:v>27.186115601173015</c:v>
                </c:pt>
                <c:pt idx="10">
                  <c:v>27.531345207204026</c:v>
                </c:pt>
                <c:pt idx="11">
                  <c:v>27.876574813235038</c:v>
                </c:pt>
                <c:pt idx="12">
                  <c:v>28.221804419264004</c:v>
                </c:pt>
                <c:pt idx="13">
                  <c:v>28.567034025295015</c:v>
                </c:pt>
              </c:numCache>
            </c:numRef>
          </c:yVal>
          <c:smooth val="0"/>
          <c:extLst>
            <c:ext xmlns:c16="http://schemas.microsoft.com/office/drawing/2014/chart" uri="{C3380CC4-5D6E-409C-BE32-E72D297353CC}">
              <c16:uniqueId val="{00000005-230E-4D33-8001-FCA90926DD37}"/>
            </c:ext>
          </c:extLst>
        </c:ser>
        <c:dLbls>
          <c:showLegendKey val="0"/>
          <c:showVal val="0"/>
          <c:showCatName val="0"/>
          <c:showSerName val="0"/>
          <c:showPercent val="0"/>
          <c:showBubbleSize val="0"/>
        </c:dLbls>
        <c:axId val="297678543"/>
        <c:axId val="570674527"/>
      </c:scatterChart>
      <c:valAx>
        <c:axId val="297678543"/>
        <c:scaling>
          <c:orientation val="minMax"/>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time [s]</a:t>
                </a:r>
              </a:p>
            </c:rich>
          </c:tx>
          <c:layout>
            <c:manualLayout>
              <c:xMode val="edge"/>
              <c:yMode val="edge"/>
              <c:x val="0.59472883543545618"/>
              <c:y val="0.926104417670682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70674527"/>
        <c:crosses val="autoZero"/>
        <c:crossBetween val="midCat"/>
      </c:valAx>
      <c:valAx>
        <c:axId val="570674527"/>
        <c:scaling>
          <c:orientation val="minMax"/>
          <c:min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Temperature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97678543"/>
        <c:crosses val="autoZero"/>
        <c:crossBetween val="midCat"/>
      </c:valAx>
      <c:spPr>
        <a:noFill/>
        <a:ln>
          <a:noFill/>
        </a:ln>
        <a:effectLst/>
      </c:spPr>
    </c:plotArea>
    <c:legend>
      <c:legendPos val="r"/>
      <c:layout>
        <c:manualLayout>
          <c:xMode val="edge"/>
          <c:yMode val="edge"/>
          <c:x val="0.19942727202855956"/>
          <c:y val="0.11946249565189894"/>
          <c:w val="0.28900420601245103"/>
          <c:h val="0.27889666680671626"/>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0.51465</cdr:x>
      <cdr:y>0.68842</cdr:y>
    </cdr:from>
    <cdr:to>
      <cdr:x>0.63035</cdr:x>
      <cdr:y>0.85937</cdr:y>
    </cdr:to>
    <cdr:sp macro="" textlink="">
      <cdr:nvSpPr>
        <cdr:cNvPr id="2" name="TextBox 1">
          <a:extLst xmlns:a="http://schemas.openxmlformats.org/drawingml/2006/main">
            <a:ext uri="{FF2B5EF4-FFF2-40B4-BE49-F238E27FC236}">
              <a16:creationId xmlns:a16="http://schemas.microsoft.com/office/drawing/2014/main" id="{1A38F517-B777-9D21-6E23-8371181DC81B}"/>
            </a:ext>
          </a:extLst>
        </cdr:cNvPr>
        <cdr:cNvSpPr txBox="1"/>
      </cdr:nvSpPr>
      <cdr:spPr>
        <a:xfrm xmlns:a="http://schemas.openxmlformats.org/drawingml/2006/main">
          <a:off x="1941855" y="1741592"/>
          <a:ext cx="436555" cy="4324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rtl="0" eaLnBrk="1" latinLnBrk="0" hangingPunct="1"/>
          <a:r>
            <a:rPr lang="en-US" sz="700">
              <a:effectLst/>
              <a:latin typeface="+mn-lt"/>
              <a:ea typeface="+mn-ea"/>
              <a:cs typeface="+mn-cs"/>
            </a:rPr>
            <a:t>Dt</a:t>
          </a:r>
          <a:r>
            <a:rPr lang="en-US" sz="700" baseline="-25000">
              <a:effectLst/>
              <a:latin typeface="+mn-lt"/>
              <a:ea typeface="+mn-ea"/>
              <a:cs typeface="+mn-cs"/>
            </a:rPr>
            <a:t>1</a:t>
          </a:r>
          <a:r>
            <a:rPr lang="en-US" sz="700">
              <a:effectLst/>
              <a:latin typeface="+mn-lt"/>
              <a:ea typeface="+mn-ea"/>
              <a:cs typeface="+mn-cs"/>
            </a:rPr>
            <a:t>=  10 points per period</a:t>
          </a:r>
          <a:endParaRPr lang="it-IT" sz="700">
            <a:effectLst/>
          </a:endParaRPr>
        </a:p>
        <a:p xmlns:a="http://schemas.openxmlformats.org/drawingml/2006/main">
          <a:pPr rtl="0" eaLnBrk="1" latinLnBrk="0" hangingPunct="1"/>
          <a:r>
            <a:rPr lang="en-US" sz="700">
              <a:effectLst/>
              <a:latin typeface="+mn-lt"/>
              <a:ea typeface="+mn-ea"/>
              <a:cs typeface="+mn-cs"/>
            </a:rPr>
            <a:t>Dt</a:t>
          </a:r>
          <a:r>
            <a:rPr lang="en-US" sz="700" baseline="-25000">
              <a:effectLst/>
              <a:latin typeface="+mn-lt"/>
              <a:ea typeface="+mn-ea"/>
              <a:cs typeface="+mn-cs"/>
            </a:rPr>
            <a:t>2</a:t>
          </a:r>
          <a:r>
            <a:rPr lang="en-US" sz="700">
              <a:effectLst/>
              <a:latin typeface="+mn-lt"/>
              <a:ea typeface="+mn-ea"/>
              <a:cs typeface="+mn-cs"/>
            </a:rPr>
            <a:t>  =   100 points per period</a:t>
          </a:r>
          <a:endParaRPr lang="it-IT" sz="700">
            <a:effectLst/>
          </a:endParaRPr>
        </a:p>
        <a:p xmlns:a="http://schemas.openxmlformats.org/drawingml/2006/main">
          <a:pPr rtl="0" eaLnBrk="1" latinLnBrk="0" hangingPunct="1"/>
          <a:r>
            <a:rPr lang="en-US" sz="700">
              <a:effectLst/>
              <a:latin typeface="+mn-lt"/>
              <a:ea typeface="+mn-ea"/>
              <a:cs typeface="+mn-cs"/>
            </a:rPr>
            <a:t>Dt</a:t>
          </a:r>
          <a:r>
            <a:rPr lang="en-US" sz="700" baseline="-25000">
              <a:effectLst/>
              <a:latin typeface="+mn-lt"/>
              <a:ea typeface="+mn-ea"/>
              <a:cs typeface="+mn-cs"/>
            </a:rPr>
            <a:t>3</a:t>
          </a:r>
          <a:r>
            <a:rPr lang="en-US" sz="700">
              <a:effectLst/>
              <a:latin typeface="+mn-lt"/>
              <a:ea typeface="+mn-ea"/>
              <a:cs typeface="+mn-cs"/>
            </a:rPr>
            <a:t>   =   1000 points per period</a:t>
          </a:r>
          <a:endParaRPr lang="it-IT" sz="700">
            <a:effectLst/>
          </a:endParaRPr>
        </a:p>
        <a:p xmlns:a="http://schemas.openxmlformats.org/drawingml/2006/main">
          <a:endParaRPr lang="it-IT" sz="1100" kern="1200"/>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Mai04</b:Tag>
    <b:SourceType>JournalArticle</b:SourceType>
    <b:Guid>{DB31BD70-A503-4752-B5E2-718E34922E7F}</b:Guid>
    <b:Author>
      <b:Author>
        <b:NameList>
          <b:Person>
            <b:Last>Echarte</b:Last>
            <b:First>M.,</b:First>
            <b:Middle>Conchillo, A., Ansorenalciar, D., &amp; Astiasarán</b:Middle>
          </b:Person>
        </b:NameList>
      </b:Author>
    </b:Author>
    <b:Title>Evaluation of the nutritional aspects and cholesterol oxidation products of pork liver and fish patés</b:Title>
    <b:PeriodicalTitle>Avaliação dos aspetos nutricionais e dos produtos oxidantes do colesterol de patês de fígado suíno e peixe</b:PeriodicalTitle>
    <b:Year>2004</b:Year>
    <b:Month>Junho</b:Month>
    <b:Pages>47-53</b:Pages>
    <b:BookTitle>Food Chemistry</b:BookTitle>
    <b:JournalName>Food Chemistry 86</b:JournalName>
    <b:RefOrder>3</b:RefOrder>
  </b:Source>
  <b:Source>
    <b:Tag>Tim20</b:Tag>
    <b:SourceType>JournalArticle</b:SourceType>
    <b:Guid>{E3A4B00F-393C-44C6-B152-976C22B954CF}</b:Guid>
    <b:Author>
      <b:Author>
        <b:NameList>
          <b:Person>
            <b:Last>Tim Nielsen</b:Last>
            <b:First>Mihaela</b:First>
            <b:Middle>Mihnea, Klara Bath, Sara C. Cunha, Ricardo Fereira, José O. Fernandes, Amparo Gonçalves, Maria Leonor Nunes e Helena Oliveira</b:Middle>
          </b:Person>
        </b:NameList>
      </b:Author>
    </b:Author>
    <b:Title>New formulation for producing salmon pâté with reducend sodiujm conten</b:Title>
    <b:Year>2020</b:Year>
    <b:Month>Junho</b:Month>
    <b:Day>19</b:Day>
    <b:Pages>9</b:Pages>
    <b:JournalName>Food and Chemical Toxicology 143</b:JournalName>
    <b:RefOrder>4</b:RefOrder>
  </b:Source>
</b:Sources>
</file>

<file path=customXml/itemProps1.xml><?xml version="1.0" encoding="utf-8"?>
<ds:datastoreItem xmlns:ds="http://schemas.openxmlformats.org/officeDocument/2006/customXml" ds:itemID="{E2928EA9-7BAA-42F0-B5B1-43437D14A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2315</Words>
  <Characters>13497</Characters>
  <Application>Microsoft Office Word</Application>
  <DocSecurity>0</DocSecurity>
  <Lines>236</Lines>
  <Paragraphs>99</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15713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FABRIZIO SARGHINI</cp:lastModifiedBy>
  <cp:revision>2</cp:revision>
  <cp:lastPrinted>2025-03-14T15:46:00Z</cp:lastPrinted>
  <dcterms:created xsi:type="dcterms:W3CDTF">2025-06-24T13:05:00Z</dcterms:created>
  <dcterms:modified xsi:type="dcterms:W3CDTF">2025-06-24T13:05:00Z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SIP_Label_2ad0b24d-6422-44b0-b3de-abb3a9e8c81a_Enabled">
    <vt:lpwstr>true</vt:lpwstr>
  </property>
  <property fmtid="{D5CDD505-2E9C-101B-9397-08002B2CF9AE}" pid="5" name="MSIP_Label_2ad0b24d-6422-44b0-b3de-abb3a9e8c81a_SetDate">
    <vt:lpwstr>2025-05-21T08:12:23Z</vt:lpwstr>
  </property>
  <property fmtid="{D5CDD505-2E9C-101B-9397-08002B2CF9AE}" pid="6" name="MSIP_Label_2ad0b24d-6422-44b0-b3de-abb3a9e8c81a_Method">
    <vt:lpwstr>Standard</vt:lpwstr>
  </property>
  <property fmtid="{D5CDD505-2E9C-101B-9397-08002B2CF9AE}" pid="7" name="MSIP_Label_2ad0b24d-6422-44b0-b3de-abb3a9e8c81a_Name">
    <vt:lpwstr>defa4170-0d19-0005-0004-bc88714345d2</vt:lpwstr>
  </property>
  <property fmtid="{D5CDD505-2E9C-101B-9397-08002B2CF9AE}" pid="8" name="MSIP_Label_2ad0b24d-6422-44b0-b3de-abb3a9e8c81a_SiteId">
    <vt:lpwstr>2fcfe26a-bb62-46b0-b1e3-28f9da0c45fd</vt:lpwstr>
  </property>
  <property fmtid="{D5CDD505-2E9C-101B-9397-08002B2CF9AE}" pid="9" name="MSIP_Label_2ad0b24d-6422-44b0-b3de-abb3a9e8c81a_ActionId">
    <vt:lpwstr>68f956a1-36cb-44e5-8dbf-f6947bbb58ac</vt:lpwstr>
  </property>
  <property fmtid="{D5CDD505-2E9C-101B-9397-08002B2CF9AE}" pid="10" name="MSIP_Label_2ad0b24d-6422-44b0-b3de-abb3a9e8c81a_ContentBits">
    <vt:lpwstr>0</vt:lpwstr>
  </property>
  <property fmtid="{D5CDD505-2E9C-101B-9397-08002B2CF9AE}" pid="11" name="MSIP_Label_2ad0b24d-6422-44b0-b3de-abb3a9e8c81a_Tag">
    <vt:lpwstr>10, 3, 0, 1</vt:lpwstr>
  </property>
</Properties>
</file>